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2D7DF5">
                              <w:rPr>
                                <w:rFonts w:ascii="Arial" w:hAnsi="Arial" w:cs="Arial"/>
                                <w:b/>
                                <w:bCs/>
                                <w:lang w:val="en-GB"/>
                              </w:rPr>
                              <w:t xml:space="preserve">6 </w:t>
                            </w:r>
                          </w:p>
                          <w:p w:rsidR="00FA36AB" w:rsidRDefault="002D7DF5" w:rsidP="00754D75">
                            <w:pPr>
                              <w:jc w:val="center"/>
                              <w:rPr>
                                <w:rFonts w:ascii="Arial" w:hAnsi="Arial" w:cs="Arial"/>
                                <w:b/>
                                <w:bCs/>
                                <w:lang w:val="en-GB"/>
                              </w:rPr>
                            </w:pPr>
                            <w:r>
                              <w:rPr>
                                <w:rFonts w:ascii="Arial" w:hAnsi="Arial" w:cs="Arial"/>
                                <w:b/>
                                <w:bCs/>
                                <w:lang w:val="en-GB"/>
                              </w:rPr>
                              <w:t xml:space="preserve">9-10 March </w:t>
                            </w:r>
                            <w:r w:rsidR="00FA36AB">
                              <w:rPr>
                                <w:rFonts w:ascii="Arial" w:hAnsi="Arial" w:cs="Arial"/>
                                <w:b/>
                                <w:bCs/>
                                <w:lang w:val="en-GB"/>
                              </w:rPr>
                              <w:t>201</w:t>
                            </w:r>
                            <w:r>
                              <w:rPr>
                                <w:rFonts w:ascii="Arial" w:hAnsi="Arial" w:cs="Arial"/>
                                <w:b/>
                                <w:bCs/>
                                <w:lang w:val="en-GB"/>
                              </w:rPr>
                              <w:t>6</w:t>
                            </w:r>
                          </w:p>
                          <w:p w:rsidR="00FA36AB" w:rsidRPr="002160AA" w:rsidRDefault="002D7DF5" w:rsidP="00754D75">
                            <w:pPr>
                              <w:jc w:val="center"/>
                              <w:rPr>
                                <w:rFonts w:ascii="Arial" w:hAnsi="Arial" w:cs="Arial"/>
                                <w:b/>
                                <w:bCs/>
                                <w:lang w:val="en-GB"/>
                              </w:rPr>
                            </w:pPr>
                            <w:r>
                              <w:rPr>
                                <w:rFonts w:ascii="Arial" w:hAnsi="Arial" w:cs="Arial"/>
                                <w:b/>
                                <w:bCs/>
                                <w:lang w:val="en-GB"/>
                              </w:rPr>
                              <w:t>Leeuwarden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2D7DF5">
                        <w:rPr>
                          <w:rFonts w:ascii="Arial" w:hAnsi="Arial" w:cs="Arial"/>
                          <w:b/>
                          <w:bCs/>
                          <w:lang w:val="en-GB"/>
                        </w:rPr>
                        <w:t xml:space="preserve">6 </w:t>
                      </w:r>
                    </w:p>
                    <w:p w:rsidR="00FA36AB" w:rsidRDefault="002D7DF5" w:rsidP="00754D75">
                      <w:pPr>
                        <w:jc w:val="center"/>
                        <w:rPr>
                          <w:rFonts w:ascii="Arial" w:hAnsi="Arial" w:cs="Arial"/>
                          <w:b/>
                          <w:bCs/>
                          <w:lang w:val="en-GB"/>
                        </w:rPr>
                      </w:pPr>
                      <w:r>
                        <w:rPr>
                          <w:rFonts w:ascii="Arial" w:hAnsi="Arial" w:cs="Arial"/>
                          <w:b/>
                          <w:bCs/>
                          <w:lang w:val="en-GB"/>
                        </w:rPr>
                        <w:t xml:space="preserve">9-10 March </w:t>
                      </w:r>
                      <w:r w:rsidR="00FA36AB">
                        <w:rPr>
                          <w:rFonts w:ascii="Arial" w:hAnsi="Arial" w:cs="Arial"/>
                          <w:b/>
                          <w:bCs/>
                          <w:lang w:val="en-GB"/>
                        </w:rPr>
                        <w:t>201</w:t>
                      </w:r>
                      <w:r>
                        <w:rPr>
                          <w:rFonts w:ascii="Arial" w:hAnsi="Arial" w:cs="Arial"/>
                          <w:b/>
                          <w:bCs/>
                          <w:lang w:val="en-GB"/>
                        </w:rPr>
                        <w:t>6</w:t>
                      </w:r>
                    </w:p>
                    <w:p w:rsidR="00FA36AB" w:rsidRPr="002160AA" w:rsidRDefault="002D7DF5" w:rsidP="00754D75">
                      <w:pPr>
                        <w:jc w:val="center"/>
                        <w:rPr>
                          <w:rFonts w:ascii="Arial" w:hAnsi="Arial" w:cs="Arial"/>
                          <w:b/>
                          <w:bCs/>
                          <w:lang w:val="en-GB"/>
                        </w:rPr>
                      </w:pPr>
                      <w:r>
                        <w:rPr>
                          <w:rFonts w:ascii="Arial" w:hAnsi="Arial" w:cs="Arial"/>
                          <w:b/>
                          <w:bCs/>
                          <w:lang w:val="en-GB"/>
                        </w:rPr>
                        <w:t>Leeuwarden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ED6E41" w:rsidRPr="007470F0" w:rsidRDefault="003D6D11" w:rsidP="00ED6E4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ED6E41" w:rsidRPr="007470F0">
        <w:rPr>
          <w:rFonts w:ascii="Arial" w:hAnsi="Arial" w:cs="Arial"/>
          <w:sz w:val="20"/>
          <w:szCs w:val="20"/>
          <w:lang w:val="en-GB"/>
        </w:rPr>
        <w:t>6.</w:t>
      </w:r>
      <w:r w:rsidR="007470F0" w:rsidRPr="007470F0">
        <w:rPr>
          <w:rFonts w:ascii="Arial" w:hAnsi="Arial" w:cs="Arial"/>
          <w:sz w:val="20"/>
          <w:szCs w:val="20"/>
          <w:lang w:val="en-GB"/>
        </w:rPr>
        <w:t>2</w:t>
      </w:r>
      <w:r w:rsidR="00ED6E41" w:rsidRPr="007470F0">
        <w:rPr>
          <w:rFonts w:ascii="Arial" w:hAnsi="Arial" w:cs="Arial"/>
          <w:sz w:val="20"/>
          <w:szCs w:val="20"/>
          <w:lang w:val="en-GB"/>
        </w:rPr>
        <w:t xml:space="preserve"> </w:t>
      </w:r>
      <w:r w:rsidR="00ED6E41" w:rsidRPr="007470F0">
        <w:rPr>
          <w:rFonts w:ascii="Arial" w:hAnsi="Arial" w:cs="Arial"/>
          <w:bCs/>
          <w:sz w:val="20"/>
          <w:szCs w:val="20"/>
        </w:rPr>
        <w:t>Status of discussion on WSWH Competence Center</w:t>
      </w:r>
    </w:p>
    <w:p w:rsidR="00ED6E41" w:rsidRPr="008C054F" w:rsidRDefault="00ED6E41" w:rsidP="00ED6E41">
      <w:pPr>
        <w:tabs>
          <w:tab w:val="left" w:pos="2160"/>
        </w:tabs>
        <w:rPr>
          <w:rFonts w:ascii="Arial" w:hAnsi="Arial" w:cs="Arial"/>
          <w:sz w:val="20"/>
          <w:szCs w:val="20"/>
          <w:lang w:val="en-GB"/>
        </w:rPr>
      </w:pPr>
    </w:p>
    <w:p w:rsidR="00ED6E41" w:rsidRPr="008C054F" w:rsidRDefault="003D6D11" w:rsidP="00ED6E4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ED6E41" w:rsidRPr="007470F0">
        <w:rPr>
          <w:rFonts w:ascii="Arial" w:hAnsi="Arial" w:cs="Arial"/>
          <w:sz w:val="20"/>
          <w:szCs w:val="20"/>
          <w:lang w:val="en-GB"/>
        </w:rPr>
        <w:t>To</w:t>
      </w:r>
      <w:r w:rsidR="007A0A56" w:rsidRPr="007470F0">
        <w:rPr>
          <w:rFonts w:ascii="Arial" w:hAnsi="Arial" w:cs="Arial"/>
          <w:sz w:val="20"/>
          <w:szCs w:val="20"/>
          <w:lang w:val="en-GB"/>
        </w:rPr>
        <w:t>R</w:t>
      </w:r>
      <w:r w:rsidR="00ED6E41" w:rsidRPr="007470F0">
        <w:rPr>
          <w:rFonts w:ascii="Arial" w:hAnsi="Arial" w:cs="Arial"/>
          <w:sz w:val="20"/>
          <w:szCs w:val="20"/>
          <w:lang w:val="en-GB"/>
        </w:rPr>
        <w:t xml:space="preserve"> for the WS Partnership </w:t>
      </w:r>
      <w:proofErr w:type="spellStart"/>
      <w:r w:rsidR="00ED6E41" w:rsidRPr="007470F0">
        <w:rPr>
          <w:rFonts w:ascii="Arial" w:hAnsi="Arial" w:cs="Arial"/>
          <w:sz w:val="20"/>
          <w:szCs w:val="20"/>
          <w:lang w:val="en-GB"/>
        </w:rPr>
        <w:t>Center</w:t>
      </w:r>
      <w:proofErr w:type="spellEnd"/>
      <w:r w:rsidR="00ED6E41" w:rsidRPr="007470F0">
        <w:rPr>
          <w:rFonts w:ascii="Arial" w:hAnsi="Arial" w:cs="Arial"/>
          <w:sz w:val="20"/>
          <w:szCs w:val="20"/>
          <w:lang w:val="en-GB"/>
        </w:rPr>
        <w:t xml:space="preserve"> Drafting Group</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ED6E41" w:rsidRPr="008C054F">
        <w:rPr>
          <w:rFonts w:ascii="Arial" w:hAnsi="Arial" w:cs="Arial"/>
          <w:sz w:val="20"/>
          <w:szCs w:val="20"/>
          <w:lang w:val="en-GB"/>
        </w:rPr>
        <w:t>WSB 16/6.</w:t>
      </w:r>
      <w:r w:rsidR="007470F0">
        <w:rPr>
          <w:rFonts w:ascii="Arial" w:hAnsi="Arial" w:cs="Arial"/>
          <w:sz w:val="20"/>
          <w:szCs w:val="20"/>
          <w:lang w:val="en-GB"/>
        </w:rPr>
        <w:t>2</w:t>
      </w:r>
    </w:p>
    <w:p w:rsidR="003D6D11" w:rsidRDefault="003D6D11" w:rsidP="003D6D11">
      <w:pPr>
        <w:tabs>
          <w:tab w:val="left" w:pos="2160"/>
        </w:tabs>
        <w:rPr>
          <w:rFonts w:ascii="Arial" w:hAnsi="Arial" w:cs="Arial"/>
          <w:sz w:val="20"/>
          <w:szCs w:val="20"/>
          <w:lang w:val="en-GB"/>
        </w:rPr>
      </w:pPr>
    </w:p>
    <w:p w:rsidR="00ED6E41" w:rsidRDefault="003D6D11" w:rsidP="00ED6E41">
      <w:pPr>
        <w:tabs>
          <w:tab w:val="left" w:pos="2160"/>
        </w:tabs>
        <w:rPr>
          <w:rFonts w:ascii="Arial" w:hAnsi="Arial" w:cs="Arial"/>
          <w:sz w:val="20"/>
          <w:szCs w:val="20"/>
          <w:lang w:val="en-GB"/>
        </w:rPr>
      </w:pPr>
      <w:r>
        <w:rPr>
          <w:rFonts w:ascii="Arial" w:hAnsi="Arial" w:cs="Arial"/>
          <w:b/>
          <w:sz w:val="20"/>
          <w:szCs w:val="20"/>
          <w:lang w:val="en-GB"/>
        </w:rPr>
        <w:t>Date:</w:t>
      </w:r>
      <w:r>
        <w:rPr>
          <w:rFonts w:ascii="Arial" w:hAnsi="Arial" w:cs="Arial"/>
          <w:b/>
          <w:sz w:val="20"/>
          <w:szCs w:val="20"/>
          <w:lang w:val="en-GB"/>
        </w:rPr>
        <w:tab/>
      </w:r>
      <w:r w:rsidR="00ED6E41" w:rsidRPr="008C054F">
        <w:rPr>
          <w:rFonts w:ascii="Arial" w:hAnsi="Arial" w:cs="Arial"/>
          <w:sz w:val="20"/>
          <w:szCs w:val="20"/>
          <w:lang w:val="en-GB"/>
        </w:rPr>
        <w:t>29 February 2016</w:t>
      </w:r>
    </w:p>
    <w:p w:rsidR="003D6D11" w:rsidRDefault="003D6D11" w:rsidP="00ED6E41">
      <w:pPr>
        <w:tabs>
          <w:tab w:val="left" w:pos="2160"/>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ED6E41" w:rsidRPr="007470F0">
        <w:rPr>
          <w:rFonts w:ascii="Arial" w:hAnsi="Arial" w:cs="Arial"/>
          <w:sz w:val="20"/>
          <w:szCs w:val="20"/>
          <w:lang w:val="en-GB"/>
        </w:rPr>
        <w:t>Secretariat</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ED6E41" w:rsidRDefault="00ED6E41" w:rsidP="00ED6E41">
      <w:pPr>
        <w:pStyle w:val="Kopfzeile"/>
        <w:rPr>
          <w:rFonts w:ascii="Arial" w:hAnsi="Arial" w:cs="Arial"/>
          <w:lang w:val="en-GB" w:eastAsia="de-DE"/>
        </w:rPr>
      </w:pPr>
    </w:p>
    <w:p w:rsidR="00ED6E41" w:rsidRPr="008C054F" w:rsidRDefault="00ED6E41" w:rsidP="00ED6E41">
      <w:pPr>
        <w:pStyle w:val="Kopfzeile"/>
        <w:rPr>
          <w:rFonts w:ascii="Arial" w:hAnsi="Arial" w:cs="Arial"/>
          <w:sz w:val="20"/>
          <w:szCs w:val="20"/>
          <w:lang w:val="en-GB"/>
        </w:rPr>
      </w:pPr>
      <w:r>
        <w:rPr>
          <w:rFonts w:ascii="Arial" w:hAnsi="Arial" w:cs="Arial"/>
          <w:noProof/>
          <w:lang w:val="de-DE" w:eastAsia="de-DE"/>
        </w:rPr>
        <w:drawing>
          <wp:anchor distT="0" distB="0" distL="114300" distR="114300" simplePos="0" relativeHeight="251662336" behindDoc="0" locked="0" layoutInCell="1" allowOverlap="1" wp14:anchorId="317AAD27" wp14:editId="4A518D1B">
            <wp:simplePos x="0" y="0"/>
            <wp:positionH relativeFrom="column">
              <wp:posOffset>987425</wp:posOffset>
            </wp:positionH>
            <wp:positionV relativeFrom="paragraph">
              <wp:posOffset>9311005</wp:posOffset>
            </wp:positionV>
            <wp:extent cx="989330" cy="577850"/>
            <wp:effectExtent l="0" t="0" r="127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9330" cy="577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lang w:val="de-DE" w:eastAsia="de-DE"/>
        </w:rPr>
        <w:drawing>
          <wp:anchor distT="0" distB="0" distL="114300" distR="114300" simplePos="0" relativeHeight="251663360" behindDoc="0" locked="0" layoutInCell="1" allowOverlap="1" wp14:anchorId="359F19C7" wp14:editId="33ACC062">
            <wp:simplePos x="0" y="0"/>
            <wp:positionH relativeFrom="column">
              <wp:posOffset>4864735</wp:posOffset>
            </wp:positionH>
            <wp:positionV relativeFrom="paragraph">
              <wp:posOffset>9415145</wp:posOffset>
            </wp:positionV>
            <wp:extent cx="758825" cy="377190"/>
            <wp:effectExtent l="0" t="0" r="3175"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8825" cy="3771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lang w:val="de-DE" w:eastAsia="de-DE"/>
        </w:rPr>
        <w:drawing>
          <wp:anchor distT="0" distB="0" distL="114300" distR="114300" simplePos="0" relativeHeight="251664384" behindDoc="0" locked="0" layoutInCell="1" allowOverlap="1" wp14:anchorId="055D4852" wp14:editId="66AC27A9">
            <wp:simplePos x="0" y="0"/>
            <wp:positionH relativeFrom="column">
              <wp:posOffset>5639435</wp:posOffset>
            </wp:positionH>
            <wp:positionV relativeFrom="paragraph">
              <wp:posOffset>9449435</wp:posOffset>
            </wp:positionV>
            <wp:extent cx="1852295" cy="276225"/>
            <wp:effectExtent l="0" t="0" r="0" b="952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2295" cy="276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70F0" w:rsidRPr="00ED6E41" w:rsidRDefault="007470F0" w:rsidP="007470F0">
      <w:pPr>
        <w:spacing w:before="120" w:after="120" w:line="276" w:lineRule="auto"/>
        <w:rPr>
          <w:rFonts w:ascii="Arial" w:hAnsi="Arial" w:cs="Arial"/>
          <w:b/>
          <w:bCs/>
          <w:sz w:val="28"/>
          <w:szCs w:val="28"/>
        </w:rPr>
      </w:pPr>
      <w:r>
        <w:rPr>
          <w:rFonts w:ascii="Arial" w:hAnsi="Arial" w:cs="Arial"/>
          <w:sz w:val="20"/>
          <w:szCs w:val="20"/>
          <w:lang w:val="en-GB"/>
        </w:rPr>
        <w:t>Attached are</w:t>
      </w:r>
      <w:r w:rsidR="00ED6E41" w:rsidRPr="008C054F">
        <w:rPr>
          <w:rFonts w:ascii="Arial" w:hAnsi="Arial" w:cs="Arial"/>
          <w:sz w:val="20"/>
          <w:szCs w:val="20"/>
          <w:lang w:val="en-GB"/>
        </w:rPr>
        <w:t xml:space="preserve"> the </w:t>
      </w:r>
      <w:r w:rsidRPr="007470F0">
        <w:rPr>
          <w:rFonts w:ascii="Arial" w:hAnsi="Arial" w:cs="Arial"/>
          <w:sz w:val="20"/>
          <w:szCs w:val="20"/>
          <w:lang w:val="en-GB"/>
        </w:rPr>
        <w:t xml:space="preserve">Draft Terms of Reference for the </w:t>
      </w:r>
      <w:proofErr w:type="spellStart"/>
      <w:r w:rsidRPr="007470F0">
        <w:rPr>
          <w:rFonts w:ascii="Arial" w:hAnsi="Arial" w:cs="Arial"/>
          <w:sz w:val="20"/>
          <w:szCs w:val="20"/>
          <w:lang w:val="en-GB"/>
        </w:rPr>
        <w:t>Wadden</w:t>
      </w:r>
      <w:proofErr w:type="spellEnd"/>
      <w:r w:rsidRPr="007470F0">
        <w:rPr>
          <w:rFonts w:ascii="Arial" w:hAnsi="Arial" w:cs="Arial"/>
          <w:sz w:val="20"/>
          <w:szCs w:val="20"/>
          <w:lang w:val="en-GB"/>
        </w:rPr>
        <w:t xml:space="preserve"> Sea Partnership </w:t>
      </w:r>
      <w:proofErr w:type="spellStart"/>
      <w:r w:rsidRPr="007470F0">
        <w:rPr>
          <w:rFonts w:ascii="Arial" w:hAnsi="Arial" w:cs="Arial"/>
          <w:sz w:val="20"/>
          <w:szCs w:val="20"/>
          <w:lang w:val="en-GB"/>
        </w:rPr>
        <w:t>Center</w:t>
      </w:r>
      <w:proofErr w:type="spellEnd"/>
      <w:r w:rsidRPr="007470F0">
        <w:rPr>
          <w:rFonts w:ascii="Arial" w:hAnsi="Arial" w:cs="Arial"/>
          <w:sz w:val="20"/>
          <w:szCs w:val="20"/>
          <w:lang w:val="en-GB"/>
        </w:rPr>
        <w:t xml:space="preserve"> Drafting Group</w:t>
      </w:r>
      <w:r>
        <w:rPr>
          <w:rFonts w:ascii="Arial" w:hAnsi="Arial" w:cs="Arial"/>
          <w:sz w:val="20"/>
          <w:szCs w:val="20"/>
          <w:lang w:val="en-GB"/>
        </w:rPr>
        <w:t>, as prepared by the Secretariat.</w:t>
      </w:r>
    </w:p>
    <w:p w:rsidR="00ED6E41" w:rsidRPr="007470F0" w:rsidRDefault="00ED6E41" w:rsidP="00ED6E41">
      <w:pPr>
        <w:rPr>
          <w:rFonts w:ascii="Arial" w:hAnsi="Arial" w:cs="Arial"/>
          <w:sz w:val="20"/>
          <w:szCs w:val="20"/>
        </w:rPr>
      </w:pPr>
    </w:p>
    <w:p w:rsidR="00ED6E41" w:rsidRDefault="00ED6E41" w:rsidP="00ED6E41">
      <w:pPr>
        <w:rPr>
          <w:rFonts w:ascii="Arial" w:hAnsi="Arial"/>
          <w:b/>
          <w:bCs/>
          <w:sz w:val="20"/>
          <w:szCs w:val="20"/>
          <w:lang w:val="en-GB"/>
        </w:rPr>
      </w:pPr>
      <w:bookmarkStart w:id="0" w:name="_GoBack"/>
      <w:bookmarkEnd w:id="0"/>
    </w:p>
    <w:p w:rsidR="00ED6E41" w:rsidRDefault="00ED6E41" w:rsidP="00ED6E41">
      <w:pPr>
        <w:rPr>
          <w:rFonts w:ascii="Arial" w:hAnsi="Arial" w:cs="Arial"/>
          <w:sz w:val="25"/>
          <w:szCs w:val="25"/>
          <w:lang w:val="en-CA" w:eastAsia="de-DE"/>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meeting </w:t>
      </w:r>
      <w:r w:rsidRPr="00D32565">
        <w:rPr>
          <w:rFonts w:ascii="Arial" w:hAnsi="Arial"/>
          <w:b/>
          <w:sz w:val="20"/>
          <w:szCs w:val="20"/>
          <w:lang w:val="en-GB"/>
        </w:rPr>
        <w:t>is requested to consider the document</w:t>
      </w:r>
    </w:p>
    <w:p w:rsidR="00ED6E41" w:rsidRPr="00C54418" w:rsidRDefault="00ED6E41" w:rsidP="00ED6E41">
      <w:pPr>
        <w:rPr>
          <w:rFonts w:ascii="Arial" w:hAnsi="Arial"/>
          <w:b/>
          <w:bCs/>
          <w:sz w:val="20"/>
          <w:szCs w:val="20"/>
          <w:lang w:val="en-CA"/>
        </w:rPr>
      </w:pPr>
    </w:p>
    <w:p w:rsidR="00ED6E41" w:rsidRPr="00C94373" w:rsidRDefault="00ED6E41" w:rsidP="00ED6E41">
      <w:pPr>
        <w:pStyle w:val="Textkrper"/>
        <w:rPr>
          <w:szCs w:val="20"/>
          <w:lang w:val="en-GB"/>
        </w:rPr>
      </w:pPr>
    </w:p>
    <w:p w:rsidR="00ED6E41" w:rsidRDefault="00ED6E41" w:rsidP="00ED6E41">
      <w:pPr>
        <w:pStyle w:val="Textkrper"/>
        <w:rPr>
          <w:szCs w:val="20"/>
          <w:lang w:val="en-GB"/>
        </w:rPr>
      </w:pPr>
    </w:p>
    <w:p w:rsidR="00ED6E41" w:rsidRDefault="00ED6E41" w:rsidP="00ED6E41">
      <w:pPr>
        <w:jc w:val="center"/>
        <w:rPr>
          <w:rFonts w:ascii="Arial" w:hAnsi="Arial" w:cs="Arial"/>
          <w:lang w:val="en-GB"/>
        </w:rPr>
      </w:pPr>
    </w:p>
    <w:p w:rsidR="00ED6E41" w:rsidRDefault="00ED6E41" w:rsidP="00ED6E41">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ED6E41" w:rsidRPr="00ED6E41" w:rsidRDefault="00ED6E41" w:rsidP="00ED6E41">
      <w:pPr>
        <w:spacing w:before="120" w:after="120" w:line="276" w:lineRule="auto"/>
        <w:jc w:val="center"/>
        <w:rPr>
          <w:rFonts w:ascii="Arial" w:hAnsi="Arial" w:cs="Arial"/>
          <w:b/>
          <w:bCs/>
          <w:sz w:val="28"/>
          <w:szCs w:val="28"/>
        </w:rPr>
      </w:pPr>
      <w:r w:rsidRPr="00ED6E41">
        <w:rPr>
          <w:rFonts w:ascii="Arial" w:hAnsi="Arial" w:cs="Arial"/>
          <w:b/>
          <w:bCs/>
          <w:sz w:val="28"/>
          <w:szCs w:val="28"/>
        </w:rPr>
        <w:lastRenderedPageBreak/>
        <w:t xml:space="preserve">Draft Terms of Reference for the </w:t>
      </w:r>
      <w:proofErr w:type="spellStart"/>
      <w:r w:rsidRPr="00ED6E41">
        <w:rPr>
          <w:rFonts w:ascii="Arial" w:hAnsi="Arial" w:cs="Arial"/>
          <w:b/>
          <w:bCs/>
          <w:sz w:val="28"/>
          <w:szCs w:val="28"/>
        </w:rPr>
        <w:t>Wadden</w:t>
      </w:r>
      <w:proofErr w:type="spellEnd"/>
      <w:r w:rsidRPr="00ED6E41">
        <w:rPr>
          <w:rFonts w:ascii="Arial" w:hAnsi="Arial" w:cs="Arial"/>
          <w:b/>
          <w:bCs/>
          <w:sz w:val="28"/>
          <w:szCs w:val="28"/>
        </w:rPr>
        <w:t xml:space="preserve"> Sea Partnership Center Drafting Group</w:t>
      </w:r>
    </w:p>
    <w:p w:rsidR="00ED6E41" w:rsidRPr="00ED6E41" w:rsidRDefault="00ED6E41" w:rsidP="00ED6E41">
      <w:pPr>
        <w:spacing w:before="120" w:after="120" w:line="276" w:lineRule="auto"/>
        <w:jc w:val="both"/>
        <w:rPr>
          <w:rFonts w:ascii="Arial" w:hAnsi="Arial" w:cs="Arial"/>
          <w:b/>
          <w:bCs/>
        </w:rPr>
      </w:pPr>
    </w:p>
    <w:p w:rsidR="00ED6E41" w:rsidRPr="00ED6E41" w:rsidRDefault="00ED6E41" w:rsidP="00ED6E41">
      <w:pPr>
        <w:pStyle w:val="Kopfzeile"/>
        <w:numPr>
          <w:ilvl w:val="0"/>
          <w:numId w:val="21"/>
        </w:numPr>
        <w:tabs>
          <w:tab w:val="clear" w:pos="4703"/>
          <w:tab w:val="clear" w:pos="9406"/>
          <w:tab w:val="num" w:pos="360"/>
          <w:tab w:val="center" w:pos="4320"/>
          <w:tab w:val="right" w:pos="8640"/>
        </w:tabs>
        <w:spacing w:before="120" w:after="120" w:line="276" w:lineRule="auto"/>
        <w:ind w:left="360"/>
        <w:jc w:val="both"/>
        <w:rPr>
          <w:rFonts w:ascii="Arial" w:hAnsi="Arial" w:cs="Arial"/>
          <w:b/>
          <w:bCs/>
        </w:rPr>
      </w:pPr>
      <w:r w:rsidRPr="00ED6E41">
        <w:rPr>
          <w:rFonts w:ascii="Arial" w:hAnsi="Arial" w:cs="Arial"/>
          <w:b/>
          <w:bCs/>
        </w:rPr>
        <w:t>Background</w:t>
      </w:r>
    </w:p>
    <w:p w:rsidR="00ED6E41" w:rsidRPr="00ED6E41" w:rsidRDefault="00ED6E41" w:rsidP="00ED6E41">
      <w:pPr>
        <w:spacing w:line="276" w:lineRule="auto"/>
        <w:jc w:val="both"/>
        <w:rPr>
          <w:rFonts w:ascii="Arial" w:hAnsi="Arial" w:cs="Arial"/>
          <w:lang w:val="en-CA"/>
        </w:rPr>
      </w:pPr>
      <w:r w:rsidRPr="00ED6E41">
        <w:rPr>
          <w:rFonts w:ascii="Arial" w:hAnsi="Arial" w:cs="Arial"/>
          <w:lang w:val="en-CA"/>
        </w:rPr>
        <w:t xml:space="preserve">Following the inscription of the </w:t>
      </w:r>
      <w:proofErr w:type="spellStart"/>
      <w:r w:rsidRPr="00ED6E41">
        <w:rPr>
          <w:rFonts w:ascii="Arial" w:hAnsi="Arial" w:cs="Arial"/>
          <w:lang w:val="en-CA"/>
        </w:rPr>
        <w:t>Wadden</w:t>
      </w:r>
      <w:proofErr w:type="spellEnd"/>
      <w:r w:rsidRPr="00ED6E41">
        <w:rPr>
          <w:rFonts w:ascii="Arial" w:hAnsi="Arial" w:cs="Arial"/>
          <w:lang w:val="en-CA"/>
        </w:rPr>
        <w:t xml:space="preserve"> Sea in the UNESCO World Heritage List, the institutions and mechanisms underpinning the trilateral cooperation are facing new challenges, some of which cannot be met completely satisfactorily by the existing structures. This triggered discussions about a possible partial institutional restructuring and realignment, conducted primarily under the headlines “</w:t>
      </w:r>
      <w:proofErr w:type="spellStart"/>
      <w:r w:rsidRPr="00ED6E41">
        <w:rPr>
          <w:rFonts w:ascii="Arial" w:hAnsi="Arial" w:cs="Arial"/>
          <w:lang w:val="en-CA"/>
        </w:rPr>
        <w:t>Wadden</w:t>
      </w:r>
      <w:proofErr w:type="spellEnd"/>
      <w:r w:rsidRPr="00ED6E41">
        <w:rPr>
          <w:rFonts w:ascii="Arial" w:hAnsi="Arial" w:cs="Arial"/>
          <w:lang w:val="en-CA"/>
        </w:rPr>
        <w:t xml:space="preserve"> Sea World Heritage Foundation” and “</w:t>
      </w:r>
      <w:proofErr w:type="spellStart"/>
      <w:r w:rsidRPr="00ED6E41">
        <w:rPr>
          <w:rFonts w:ascii="Arial" w:hAnsi="Arial" w:cs="Arial"/>
          <w:lang w:val="en-CA"/>
        </w:rPr>
        <w:t>Wadden</w:t>
      </w:r>
      <w:proofErr w:type="spellEnd"/>
      <w:r w:rsidRPr="00ED6E41">
        <w:rPr>
          <w:rFonts w:ascii="Arial" w:hAnsi="Arial" w:cs="Arial"/>
          <w:lang w:val="en-CA"/>
        </w:rPr>
        <w:t xml:space="preserve"> Sea Competence Center”.  Feasibility studies covering both themes were commissioned. The study concerning a possible Competence Center underscored the broad acceptance of the notion that proceeding along “business as usual” lines was no longer a viable option and made the case that a competence center should be established (though not necessarily under this name).  </w:t>
      </w:r>
    </w:p>
    <w:p w:rsidR="00ED6E41" w:rsidRPr="00ED6E41" w:rsidRDefault="00ED6E41" w:rsidP="00ED6E41">
      <w:pPr>
        <w:spacing w:line="276" w:lineRule="auto"/>
        <w:jc w:val="both"/>
        <w:rPr>
          <w:rFonts w:ascii="Arial" w:hAnsi="Arial" w:cs="Arial"/>
          <w:lang w:val="en-CA"/>
        </w:rPr>
      </w:pPr>
    </w:p>
    <w:p w:rsidR="00ED6E41" w:rsidRPr="00ED6E41" w:rsidRDefault="00ED6E41" w:rsidP="00ED6E41">
      <w:pPr>
        <w:spacing w:line="276" w:lineRule="auto"/>
        <w:jc w:val="both"/>
        <w:rPr>
          <w:rFonts w:ascii="Arial" w:hAnsi="Arial" w:cs="Arial"/>
          <w:lang w:val="en-CA"/>
        </w:rPr>
      </w:pPr>
      <w:r w:rsidRPr="00ED6E41">
        <w:rPr>
          <w:rFonts w:ascii="Arial" w:hAnsi="Arial" w:cs="Arial"/>
          <w:lang w:val="en-CA"/>
        </w:rPr>
        <w:t xml:space="preserve">On November 9, 2015, a High-level Meeting on a future </w:t>
      </w:r>
      <w:proofErr w:type="spellStart"/>
      <w:r w:rsidRPr="00ED6E41">
        <w:rPr>
          <w:rFonts w:ascii="Arial" w:hAnsi="Arial" w:cs="Arial"/>
          <w:lang w:val="en-CA"/>
        </w:rPr>
        <w:t>Wadden</w:t>
      </w:r>
      <w:proofErr w:type="spellEnd"/>
      <w:r w:rsidRPr="00ED6E41">
        <w:rPr>
          <w:rFonts w:ascii="Arial" w:hAnsi="Arial" w:cs="Arial"/>
          <w:lang w:val="en-CA"/>
        </w:rPr>
        <w:t xml:space="preserve"> Sea Competence Center (High-level Group, HLG) was held in Copenhagen, Denmark. The meeting was convened and chaired by the Chair of the </w:t>
      </w:r>
      <w:proofErr w:type="spellStart"/>
      <w:r w:rsidRPr="00ED6E41">
        <w:rPr>
          <w:rFonts w:ascii="Arial" w:hAnsi="Arial" w:cs="Arial"/>
          <w:lang w:val="en-CA"/>
        </w:rPr>
        <w:t>Wadden</w:t>
      </w:r>
      <w:proofErr w:type="spellEnd"/>
      <w:r w:rsidRPr="00ED6E41">
        <w:rPr>
          <w:rFonts w:ascii="Arial" w:hAnsi="Arial" w:cs="Arial"/>
          <w:lang w:val="en-CA"/>
        </w:rPr>
        <w:t xml:space="preserve"> Sea Board (WSB), Mr. Co Verdaas, and attended by Mr. Peter </w:t>
      </w:r>
      <w:proofErr w:type="spellStart"/>
      <w:r w:rsidRPr="00ED6E41">
        <w:rPr>
          <w:rFonts w:ascii="Arial" w:hAnsi="Arial" w:cs="Arial"/>
          <w:lang w:val="en-CA"/>
        </w:rPr>
        <w:t>Ilsøe</w:t>
      </w:r>
      <w:proofErr w:type="spellEnd"/>
      <w:r w:rsidRPr="00ED6E41">
        <w:rPr>
          <w:rFonts w:ascii="Arial" w:hAnsi="Arial" w:cs="Arial"/>
          <w:lang w:val="en-CA"/>
        </w:rPr>
        <w:t>, Denmark, Dr. Christiane Paulus, Germany,</w:t>
      </w:r>
      <w:r w:rsidR="007A0A56">
        <w:rPr>
          <w:rFonts w:ascii="Arial" w:hAnsi="Arial" w:cs="Arial"/>
          <w:lang w:val="en-CA"/>
        </w:rPr>
        <w:t xml:space="preserve"> </w:t>
      </w:r>
      <w:r w:rsidRPr="00ED6E41">
        <w:rPr>
          <w:rFonts w:ascii="Arial" w:hAnsi="Arial" w:cs="Arial"/>
          <w:lang w:val="en-CA"/>
        </w:rPr>
        <w:t xml:space="preserve">and Mr. Jaap </w:t>
      </w:r>
      <w:proofErr w:type="spellStart"/>
      <w:r w:rsidRPr="00ED6E41">
        <w:rPr>
          <w:rFonts w:ascii="Arial" w:hAnsi="Arial" w:cs="Arial"/>
          <w:lang w:val="en-CA"/>
        </w:rPr>
        <w:t>Verhulst</w:t>
      </w:r>
      <w:proofErr w:type="spellEnd"/>
      <w:r w:rsidRPr="00ED6E41">
        <w:rPr>
          <w:rFonts w:ascii="Arial" w:hAnsi="Arial" w:cs="Arial"/>
          <w:lang w:val="en-CA"/>
        </w:rPr>
        <w:t xml:space="preserve">, Netherlands, as well as the Secretary of the Common </w:t>
      </w:r>
      <w:proofErr w:type="spellStart"/>
      <w:r w:rsidRPr="00ED6E41">
        <w:rPr>
          <w:rFonts w:ascii="Arial" w:hAnsi="Arial" w:cs="Arial"/>
          <w:lang w:val="en-CA"/>
        </w:rPr>
        <w:t>Wadden</w:t>
      </w:r>
      <w:proofErr w:type="spellEnd"/>
      <w:r w:rsidRPr="00ED6E41">
        <w:rPr>
          <w:rFonts w:ascii="Arial" w:hAnsi="Arial" w:cs="Arial"/>
          <w:lang w:val="en-CA"/>
        </w:rPr>
        <w:t xml:space="preserve"> Sea Secretariat, Mr. Rüdiger Strempel. The HLG shared the view that in terms of the future structure, preference should be given to a partnership model, as this seemed most likely to promote the aims of greater diversity and better engagement with key partners beyond the government sector. There was also agreement that networking was essential and that a competence center provided service to the network. Discussions therefore focused on the question as to how to move beyond theory and implement this model in practical terms. It was agreed that to operationalize the model a competence center and a Steering Committee (</w:t>
      </w:r>
      <w:proofErr w:type="spellStart"/>
      <w:r w:rsidRPr="00ED6E41">
        <w:rPr>
          <w:rFonts w:ascii="Arial" w:hAnsi="Arial" w:cs="Arial"/>
          <w:lang w:val="en-CA"/>
        </w:rPr>
        <w:t>StC</w:t>
      </w:r>
      <w:proofErr w:type="spellEnd"/>
      <w:r w:rsidRPr="00ED6E41">
        <w:rPr>
          <w:rFonts w:ascii="Arial" w:hAnsi="Arial" w:cs="Arial"/>
          <w:lang w:val="en-CA"/>
        </w:rPr>
        <w:t>)</w:t>
      </w:r>
      <w:proofErr w:type="gramStart"/>
      <w:r w:rsidRPr="00ED6E41">
        <w:rPr>
          <w:rFonts w:ascii="Arial" w:hAnsi="Arial" w:cs="Arial"/>
          <w:lang w:val="en-CA"/>
        </w:rPr>
        <w:t>,as</w:t>
      </w:r>
      <w:proofErr w:type="gramEnd"/>
      <w:r w:rsidRPr="00ED6E41">
        <w:rPr>
          <w:rFonts w:ascii="Arial" w:hAnsi="Arial" w:cs="Arial"/>
          <w:lang w:val="en-CA"/>
        </w:rPr>
        <w:t xml:space="preserve"> its governing body, should be established. </w:t>
      </w:r>
    </w:p>
    <w:p w:rsidR="00ED6E41" w:rsidRPr="00ED6E41" w:rsidRDefault="00ED6E41" w:rsidP="00ED6E41">
      <w:pPr>
        <w:spacing w:line="276" w:lineRule="auto"/>
        <w:jc w:val="both"/>
        <w:rPr>
          <w:rFonts w:ascii="Arial" w:hAnsi="Arial" w:cs="Arial"/>
          <w:lang w:val="en-CA"/>
        </w:rPr>
      </w:pPr>
    </w:p>
    <w:p w:rsidR="00ED6E41" w:rsidRPr="00ED6E41" w:rsidRDefault="00ED6E41" w:rsidP="00ED6E41">
      <w:pPr>
        <w:spacing w:line="276" w:lineRule="auto"/>
        <w:jc w:val="both"/>
        <w:rPr>
          <w:rFonts w:ascii="Arial" w:hAnsi="Arial" w:cs="Arial"/>
          <w:lang w:val="en-CA"/>
        </w:rPr>
      </w:pPr>
      <w:r w:rsidRPr="00ED6E41">
        <w:rPr>
          <w:rFonts w:ascii="Arial" w:hAnsi="Arial" w:cs="Arial"/>
          <w:lang w:val="en-CA"/>
        </w:rPr>
        <w:t>The 15</w:t>
      </w:r>
      <w:r w:rsidRPr="00ED6E41">
        <w:rPr>
          <w:rFonts w:ascii="Arial" w:hAnsi="Arial" w:cs="Arial"/>
          <w:vertAlign w:val="superscript"/>
          <w:lang w:val="en-CA"/>
        </w:rPr>
        <w:t>th</w:t>
      </w:r>
      <w:r w:rsidRPr="00ED6E41">
        <w:rPr>
          <w:rFonts w:ascii="Arial" w:hAnsi="Arial" w:cs="Arial"/>
          <w:lang w:val="en-CA"/>
        </w:rPr>
        <w:t xml:space="preserve"> meeting of the </w:t>
      </w:r>
      <w:proofErr w:type="spellStart"/>
      <w:r w:rsidRPr="00ED6E41">
        <w:rPr>
          <w:rFonts w:ascii="Arial" w:hAnsi="Arial" w:cs="Arial"/>
          <w:lang w:val="en-CA"/>
        </w:rPr>
        <w:t>Wadden</w:t>
      </w:r>
      <w:proofErr w:type="spellEnd"/>
      <w:r w:rsidRPr="00ED6E41">
        <w:rPr>
          <w:rFonts w:ascii="Arial" w:hAnsi="Arial" w:cs="Arial"/>
          <w:lang w:val="en-CA"/>
        </w:rPr>
        <w:t xml:space="preserve"> Sea Board (WSB 15) endorsed this approach in principle, agreed to continue its discussion at WSB 16 and also agreed that this discussion should be prepared by a further meeting of the HLG. The HLG 2 meeting was held on February 3, 2016 in Berlin, Germany and further defined the process towards developing a center, to be established under the name of “Partnership Center” (PC) and intended to become operational in 2017. In particular, HLG 2 elaborated a roadmap towards the establishment of the PC. Among the steps contained in the roadmap is the</w:t>
      </w:r>
      <w:r w:rsidRPr="00ED6E41">
        <w:rPr>
          <w:rFonts w:ascii="Arial" w:hAnsi="Arial" w:cs="Arial"/>
        </w:rPr>
        <w:t xml:space="preserve"> fine-tuning of the </w:t>
      </w:r>
      <w:r w:rsidRPr="00ED6E41">
        <w:rPr>
          <w:rFonts w:ascii="Arial" w:hAnsi="Arial" w:cs="Arial"/>
        </w:rPr>
        <w:lastRenderedPageBreak/>
        <w:t xml:space="preserve">tasks </w:t>
      </w:r>
      <w:r w:rsidRPr="00ED6E41">
        <w:rPr>
          <w:rFonts w:ascii="Arial" w:hAnsi="Arial" w:cs="Arial"/>
          <w:lang w:val="en-CA"/>
        </w:rPr>
        <w:t xml:space="preserve">and mandate of the future PC, as well as the composition of the </w:t>
      </w:r>
      <w:proofErr w:type="spellStart"/>
      <w:r w:rsidRPr="00ED6E41">
        <w:rPr>
          <w:rFonts w:ascii="Arial" w:hAnsi="Arial" w:cs="Arial"/>
          <w:lang w:val="en-CA"/>
        </w:rPr>
        <w:t>StC</w:t>
      </w:r>
      <w:proofErr w:type="spellEnd"/>
      <w:r w:rsidRPr="00ED6E41">
        <w:rPr>
          <w:rFonts w:ascii="Arial" w:hAnsi="Arial" w:cs="Arial"/>
          <w:lang w:val="en-CA"/>
        </w:rPr>
        <w:t xml:space="preserve"> by WSB 17 in June 2016. This work is to be undertaken by a drafting group comprising representatives of the sectors concerned (NGOs, science, tourism).       </w:t>
      </w:r>
    </w:p>
    <w:p w:rsidR="00ED6E41" w:rsidRPr="00ED6E41" w:rsidRDefault="00ED6E41" w:rsidP="00ED6E41">
      <w:pPr>
        <w:spacing w:line="276" w:lineRule="auto"/>
        <w:jc w:val="both"/>
        <w:rPr>
          <w:rFonts w:ascii="Arial" w:hAnsi="Arial" w:cs="Arial"/>
          <w:lang w:val="en-CA"/>
        </w:rPr>
      </w:pPr>
    </w:p>
    <w:p w:rsidR="00ED6E41" w:rsidRPr="00ED6E41" w:rsidRDefault="00ED6E41" w:rsidP="00ED6E41">
      <w:pPr>
        <w:pStyle w:val="Kopfzeile"/>
        <w:numPr>
          <w:ilvl w:val="0"/>
          <w:numId w:val="21"/>
        </w:numPr>
        <w:tabs>
          <w:tab w:val="clear" w:pos="4703"/>
          <w:tab w:val="clear" w:pos="9406"/>
          <w:tab w:val="num" w:pos="360"/>
          <w:tab w:val="center" w:pos="4320"/>
          <w:tab w:val="right" w:pos="8640"/>
        </w:tabs>
        <w:spacing w:before="120" w:after="120" w:line="276" w:lineRule="auto"/>
        <w:ind w:left="360"/>
        <w:jc w:val="both"/>
        <w:rPr>
          <w:rFonts w:ascii="Arial" w:hAnsi="Arial" w:cs="Arial"/>
          <w:b/>
          <w:bCs/>
          <w:lang w:val="en-GB"/>
        </w:rPr>
      </w:pPr>
      <w:r w:rsidRPr="00ED6E41">
        <w:rPr>
          <w:rFonts w:ascii="Arial" w:hAnsi="Arial" w:cs="Arial"/>
          <w:b/>
          <w:bCs/>
        </w:rPr>
        <w:t>Composition and mandate of the drafting group</w:t>
      </w:r>
    </w:p>
    <w:p w:rsidR="00ED6E41" w:rsidRPr="00ED6E41" w:rsidRDefault="00ED6E41" w:rsidP="00ED6E41">
      <w:pPr>
        <w:pStyle w:val="Kopfzeile"/>
        <w:tabs>
          <w:tab w:val="left" w:pos="708"/>
        </w:tabs>
        <w:spacing w:before="120" w:after="120" w:line="276" w:lineRule="auto"/>
        <w:jc w:val="both"/>
        <w:rPr>
          <w:rFonts w:ascii="Arial" w:hAnsi="Arial" w:cs="Arial"/>
        </w:rPr>
      </w:pPr>
      <w:r w:rsidRPr="00ED6E41">
        <w:rPr>
          <w:rFonts w:ascii="Arial" w:hAnsi="Arial" w:cs="Arial"/>
          <w:lang w:val="en-AU"/>
        </w:rPr>
        <w:t xml:space="preserve">In accordance with the above, the drafting group should consist of representatives of the </w:t>
      </w:r>
      <w:proofErr w:type="spellStart"/>
      <w:r w:rsidRPr="00ED6E41">
        <w:rPr>
          <w:rFonts w:ascii="Arial" w:hAnsi="Arial" w:cs="Arial"/>
          <w:lang w:val="en-AU"/>
        </w:rPr>
        <w:t>Wadden</w:t>
      </w:r>
      <w:proofErr w:type="spellEnd"/>
      <w:r w:rsidRPr="00ED6E41">
        <w:rPr>
          <w:rFonts w:ascii="Arial" w:hAnsi="Arial" w:cs="Arial"/>
          <w:lang w:val="en-AU"/>
        </w:rPr>
        <w:t xml:space="preserve"> Sea States, the Common </w:t>
      </w:r>
      <w:proofErr w:type="spellStart"/>
      <w:r w:rsidRPr="00ED6E41">
        <w:rPr>
          <w:rFonts w:ascii="Arial" w:hAnsi="Arial" w:cs="Arial"/>
          <w:lang w:val="en-AU"/>
        </w:rPr>
        <w:t>Wadden</w:t>
      </w:r>
      <w:proofErr w:type="spellEnd"/>
      <w:r w:rsidRPr="00ED6E41">
        <w:rPr>
          <w:rFonts w:ascii="Arial" w:hAnsi="Arial" w:cs="Arial"/>
          <w:lang w:val="en-AU"/>
        </w:rPr>
        <w:t xml:space="preserve"> Sea Secretariat (CWSS) and one representative each of the sectors concerned (NGOs, science, tourism). Its task consists of drafting clearly defining </w:t>
      </w:r>
      <w:r w:rsidRPr="00ED6E41">
        <w:rPr>
          <w:rFonts w:ascii="Arial" w:hAnsi="Arial" w:cs="Arial"/>
        </w:rPr>
        <w:t xml:space="preserve">the mandate and tasks of the PC, as well as the composition of the </w:t>
      </w:r>
      <w:proofErr w:type="spellStart"/>
      <w:r w:rsidRPr="00ED6E41">
        <w:rPr>
          <w:rFonts w:ascii="Arial" w:hAnsi="Arial" w:cs="Arial"/>
        </w:rPr>
        <w:t>StC</w:t>
      </w:r>
      <w:proofErr w:type="spellEnd"/>
      <w:r w:rsidRPr="00ED6E41">
        <w:rPr>
          <w:rFonts w:ascii="Arial" w:hAnsi="Arial" w:cs="Arial"/>
        </w:rPr>
        <w:t xml:space="preserve">, for presentation to WSB 17 in June 2016. The Drafting Group should meet face-to-face at least once and continue its deliberations by email.    </w:t>
      </w:r>
    </w:p>
    <w:p w:rsidR="00ED6E41" w:rsidRPr="00ED6E41" w:rsidRDefault="00ED6E41" w:rsidP="00ED6E41">
      <w:pPr>
        <w:pStyle w:val="Kopfzeile"/>
        <w:tabs>
          <w:tab w:val="left" w:pos="708"/>
        </w:tabs>
        <w:spacing w:before="120" w:after="120" w:line="276" w:lineRule="auto"/>
        <w:jc w:val="both"/>
        <w:rPr>
          <w:rFonts w:ascii="Arial" w:hAnsi="Arial" w:cs="Arial"/>
          <w:b/>
          <w:bCs/>
        </w:rPr>
      </w:pPr>
      <w:r w:rsidRPr="00ED6E41">
        <w:rPr>
          <w:rFonts w:ascii="Arial" w:hAnsi="Arial" w:cs="Arial"/>
        </w:rPr>
        <w:t xml:space="preserve"> </w:t>
      </w:r>
    </w:p>
    <w:p w:rsidR="00ED6E41" w:rsidRPr="00ED6E41" w:rsidRDefault="00ED6E41" w:rsidP="00ED6E41">
      <w:pPr>
        <w:pStyle w:val="Kopfzeile"/>
        <w:numPr>
          <w:ilvl w:val="0"/>
          <w:numId w:val="21"/>
        </w:numPr>
        <w:tabs>
          <w:tab w:val="clear" w:pos="4703"/>
          <w:tab w:val="clear" w:pos="9406"/>
          <w:tab w:val="num" w:pos="360"/>
          <w:tab w:val="center" w:pos="4320"/>
          <w:tab w:val="right" w:pos="8640"/>
        </w:tabs>
        <w:spacing w:before="120" w:after="120" w:line="276" w:lineRule="auto"/>
        <w:ind w:left="360"/>
        <w:jc w:val="both"/>
        <w:rPr>
          <w:rFonts w:ascii="Arial" w:hAnsi="Arial" w:cs="Arial"/>
          <w:b/>
          <w:bCs/>
        </w:rPr>
      </w:pPr>
      <w:r w:rsidRPr="00ED6E41">
        <w:rPr>
          <w:rFonts w:ascii="Arial" w:hAnsi="Arial" w:cs="Arial"/>
          <w:b/>
          <w:bCs/>
        </w:rPr>
        <w:t>Deliverables</w:t>
      </w:r>
    </w:p>
    <w:p w:rsidR="00ED6E41" w:rsidRPr="00ED6E41" w:rsidRDefault="00ED6E41" w:rsidP="00ED6E41">
      <w:pPr>
        <w:spacing w:before="120" w:after="120" w:line="276" w:lineRule="auto"/>
        <w:jc w:val="both"/>
        <w:rPr>
          <w:rFonts w:ascii="Arial" w:hAnsi="Arial" w:cs="Arial"/>
        </w:rPr>
      </w:pPr>
      <w:r w:rsidRPr="00ED6E41">
        <w:rPr>
          <w:rFonts w:ascii="Arial" w:hAnsi="Arial" w:cs="Arial"/>
        </w:rPr>
        <w:t>The scope of work for the Drafting Group will include the following tasks:</w:t>
      </w:r>
    </w:p>
    <w:p w:rsidR="00ED6E41" w:rsidRPr="00ED6E41" w:rsidRDefault="00ED6E41" w:rsidP="00ED6E41">
      <w:pPr>
        <w:numPr>
          <w:ilvl w:val="0"/>
          <w:numId w:val="22"/>
        </w:numPr>
        <w:tabs>
          <w:tab w:val="clear" w:pos="360"/>
          <w:tab w:val="num" w:pos="426"/>
        </w:tabs>
        <w:spacing w:before="120" w:after="120" w:line="276" w:lineRule="auto"/>
        <w:ind w:left="420"/>
        <w:jc w:val="both"/>
        <w:rPr>
          <w:rFonts w:ascii="Arial" w:hAnsi="Arial" w:cs="Arial"/>
        </w:rPr>
      </w:pPr>
      <w:r w:rsidRPr="00ED6E41">
        <w:rPr>
          <w:rFonts w:ascii="Arial" w:hAnsi="Arial" w:cs="Arial"/>
        </w:rPr>
        <w:t xml:space="preserve">Based on the outcomes of WSB 15 and WSB 16 as well as the HLG 1 and HLG 2 meetings, prepare a draft paper outlining the exact mandate of the future Partnership Center as well as the composition of the future </w:t>
      </w:r>
      <w:proofErr w:type="spellStart"/>
      <w:r w:rsidRPr="00ED6E41">
        <w:rPr>
          <w:rFonts w:ascii="Arial" w:hAnsi="Arial" w:cs="Arial"/>
        </w:rPr>
        <w:t>StC</w:t>
      </w:r>
      <w:proofErr w:type="spellEnd"/>
      <w:r w:rsidRPr="00ED6E41">
        <w:rPr>
          <w:rFonts w:ascii="Arial" w:hAnsi="Arial" w:cs="Arial"/>
        </w:rPr>
        <w:t xml:space="preserve">  </w:t>
      </w:r>
    </w:p>
    <w:p w:rsidR="00ED6E41" w:rsidRPr="00ED6E41" w:rsidRDefault="00ED6E41" w:rsidP="00ED6E41">
      <w:pPr>
        <w:numPr>
          <w:ilvl w:val="0"/>
          <w:numId w:val="22"/>
        </w:numPr>
        <w:tabs>
          <w:tab w:val="clear" w:pos="360"/>
          <w:tab w:val="num" w:pos="420"/>
          <w:tab w:val="left" w:pos="708"/>
        </w:tabs>
        <w:spacing w:before="120" w:after="120" w:line="276" w:lineRule="auto"/>
        <w:ind w:left="420"/>
        <w:jc w:val="both"/>
        <w:rPr>
          <w:rFonts w:ascii="Arial" w:hAnsi="Arial" w:cs="Arial"/>
          <w:bCs/>
        </w:rPr>
      </w:pPr>
      <w:r w:rsidRPr="00ED6E41">
        <w:rPr>
          <w:rFonts w:ascii="Arial" w:hAnsi="Arial" w:cs="Arial"/>
        </w:rPr>
        <w:t>Present the draft to the 17</w:t>
      </w:r>
      <w:r w:rsidRPr="00ED6E41">
        <w:rPr>
          <w:rFonts w:ascii="Arial" w:hAnsi="Arial" w:cs="Arial"/>
          <w:vertAlign w:val="superscript"/>
        </w:rPr>
        <w:t>th</w:t>
      </w:r>
      <w:r w:rsidRPr="00ED6E41">
        <w:rPr>
          <w:rFonts w:ascii="Arial" w:hAnsi="Arial" w:cs="Arial"/>
        </w:rPr>
        <w:t xml:space="preserve"> Meeting of the </w:t>
      </w:r>
      <w:proofErr w:type="spellStart"/>
      <w:r w:rsidRPr="00ED6E41">
        <w:rPr>
          <w:rFonts w:ascii="Arial" w:hAnsi="Arial" w:cs="Arial"/>
        </w:rPr>
        <w:t>Wadden</w:t>
      </w:r>
      <w:proofErr w:type="spellEnd"/>
      <w:r w:rsidRPr="00ED6E41">
        <w:rPr>
          <w:rFonts w:ascii="Arial" w:hAnsi="Arial" w:cs="Arial"/>
        </w:rPr>
        <w:t xml:space="preserve"> Sea Board (WSB 17), to be held on June 22, 2016. </w:t>
      </w:r>
    </w:p>
    <w:p w:rsidR="00ED6E41" w:rsidRPr="00ED6E41" w:rsidRDefault="00ED6E41" w:rsidP="00ED6E41">
      <w:pPr>
        <w:tabs>
          <w:tab w:val="left" w:pos="708"/>
        </w:tabs>
        <w:spacing w:before="120" w:after="120" w:line="276" w:lineRule="auto"/>
        <w:ind w:left="60"/>
        <w:jc w:val="both"/>
        <w:rPr>
          <w:rFonts w:ascii="Arial" w:hAnsi="Arial" w:cs="Arial"/>
          <w:bCs/>
        </w:rPr>
      </w:pPr>
    </w:p>
    <w:p w:rsidR="00ED6E41" w:rsidRPr="00ED6E41" w:rsidRDefault="00ED6E41" w:rsidP="00ED6E41">
      <w:pPr>
        <w:pStyle w:val="Kopfzeile"/>
        <w:numPr>
          <w:ilvl w:val="0"/>
          <w:numId w:val="21"/>
        </w:numPr>
        <w:tabs>
          <w:tab w:val="clear" w:pos="4703"/>
          <w:tab w:val="clear" w:pos="9406"/>
          <w:tab w:val="num" w:pos="360"/>
          <w:tab w:val="center" w:pos="4320"/>
          <w:tab w:val="right" w:pos="8640"/>
        </w:tabs>
        <w:spacing w:before="120" w:after="120" w:line="276" w:lineRule="auto"/>
        <w:ind w:left="360"/>
        <w:jc w:val="both"/>
        <w:rPr>
          <w:rFonts w:ascii="Arial" w:hAnsi="Arial" w:cs="Arial"/>
          <w:b/>
          <w:bCs/>
        </w:rPr>
      </w:pPr>
      <w:r w:rsidRPr="00ED6E41">
        <w:rPr>
          <w:rFonts w:ascii="Arial" w:hAnsi="Arial" w:cs="Arial"/>
          <w:b/>
          <w:bCs/>
        </w:rPr>
        <w:t>Timelines</w:t>
      </w:r>
    </w:p>
    <w:p w:rsidR="00ED6E41" w:rsidRPr="00ED6E41" w:rsidRDefault="00ED6E41" w:rsidP="00ED6E41">
      <w:pPr>
        <w:pStyle w:val="Kopfzeile"/>
        <w:tabs>
          <w:tab w:val="left" w:pos="708"/>
        </w:tabs>
        <w:spacing w:before="120" w:after="120" w:line="276" w:lineRule="auto"/>
        <w:jc w:val="both"/>
        <w:rPr>
          <w:rFonts w:ascii="Arial" w:hAnsi="Arial" w:cs="Arial"/>
        </w:rPr>
      </w:pPr>
      <w:r w:rsidRPr="00ED6E41">
        <w:rPr>
          <w:rFonts w:ascii="Arial" w:hAnsi="Arial" w:cs="Arial"/>
        </w:rPr>
        <w:t xml:space="preserve">Draft 1 of the paper should be submitted to the members of the HLG no later than Friday, May 27, 2016. </w:t>
      </w:r>
    </w:p>
    <w:p w:rsidR="00ED6E41" w:rsidRPr="00ED6E41" w:rsidRDefault="00ED6E41" w:rsidP="00ED6E41">
      <w:pPr>
        <w:pStyle w:val="Kopfzeile"/>
        <w:tabs>
          <w:tab w:val="left" w:pos="708"/>
        </w:tabs>
        <w:spacing w:before="120" w:after="120" w:line="276" w:lineRule="auto"/>
        <w:jc w:val="both"/>
        <w:rPr>
          <w:rFonts w:ascii="Arial" w:hAnsi="Arial" w:cs="Arial"/>
          <w:bCs/>
        </w:rPr>
      </w:pPr>
      <w:r w:rsidRPr="00ED6E41">
        <w:rPr>
          <w:rFonts w:ascii="Arial" w:hAnsi="Arial" w:cs="Arial"/>
        </w:rPr>
        <w:t>Draft 2, based on input received from the HLG on Draft 1, should be submitted to the CWSS for distribution to the WSB no later than Friday, 9 June 2016</w:t>
      </w:r>
    </w:p>
    <w:p w:rsidR="00ED6E41" w:rsidRPr="00ED6E41" w:rsidRDefault="00ED6E41" w:rsidP="00ED6E41">
      <w:pPr>
        <w:spacing w:line="276" w:lineRule="auto"/>
        <w:rPr>
          <w:rFonts w:ascii="Arial" w:hAnsi="Arial" w:cs="Arial"/>
          <w:b/>
          <w:bCs/>
          <w:spacing w:val="-2"/>
          <w:sz w:val="22"/>
          <w:szCs w:val="22"/>
        </w:rPr>
      </w:pPr>
    </w:p>
    <w:p w:rsidR="00ED6E41" w:rsidRPr="00ED6E41" w:rsidRDefault="00ED6E41" w:rsidP="00ED6E41">
      <w:pPr>
        <w:pStyle w:val="Listenabsatz"/>
        <w:rPr>
          <w:rFonts w:ascii="Arial" w:hAnsi="Arial" w:cs="Arial"/>
          <w:lang w:val="en-US"/>
        </w:rPr>
      </w:pPr>
    </w:p>
    <w:p w:rsidR="00ED6E41" w:rsidRPr="00ED6E41" w:rsidRDefault="00ED6E41" w:rsidP="00ED6E41">
      <w:pPr>
        <w:pStyle w:val="Listenabsatz"/>
        <w:rPr>
          <w:rFonts w:ascii="Arial" w:hAnsi="Arial" w:cs="Arial"/>
          <w:lang w:val="en-US"/>
        </w:rPr>
      </w:pPr>
    </w:p>
    <w:p w:rsidR="00ED6E41" w:rsidRPr="00ED6E41" w:rsidRDefault="00ED6E41" w:rsidP="00ED6E41">
      <w:pPr>
        <w:spacing w:line="276" w:lineRule="auto"/>
        <w:rPr>
          <w:rFonts w:ascii="Arial" w:hAnsi="Arial" w:cs="Arial"/>
          <w:sz w:val="22"/>
          <w:szCs w:val="22"/>
        </w:rPr>
      </w:pPr>
    </w:p>
    <w:p w:rsidR="001C042F" w:rsidRPr="00ED6E41" w:rsidRDefault="001C042F" w:rsidP="001C042F">
      <w:pPr>
        <w:rPr>
          <w:rFonts w:ascii="Arial" w:hAnsi="Arial" w:cs="Arial"/>
        </w:rPr>
      </w:pPr>
    </w:p>
    <w:sectPr w:rsidR="001C042F" w:rsidRPr="00ED6E41"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2A9" w:rsidRDefault="00AD02A9">
      <w:r>
        <w:separator/>
      </w:r>
    </w:p>
  </w:endnote>
  <w:endnote w:type="continuationSeparator" w:id="0">
    <w:p w:rsidR="00AD02A9" w:rsidRDefault="00AD0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2A9" w:rsidRDefault="00AD02A9">
      <w:r>
        <w:separator/>
      </w:r>
    </w:p>
  </w:footnote>
  <w:footnote w:type="continuationSeparator" w:id="0">
    <w:p w:rsidR="00AD02A9" w:rsidRDefault="00AD0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ED6E41">
      <w:rPr>
        <w:rFonts w:ascii="Arial" w:hAnsi="Arial" w:cs="Arial"/>
        <w:sz w:val="20"/>
        <w:szCs w:val="20"/>
      </w:rPr>
      <w:t>6</w:t>
    </w:r>
    <w:r w:rsidR="001C042F" w:rsidRPr="001C042F">
      <w:rPr>
        <w:rFonts w:ascii="Arial" w:hAnsi="Arial" w:cs="Arial"/>
        <w:sz w:val="20"/>
        <w:szCs w:val="20"/>
      </w:rPr>
      <w:t>/</w:t>
    </w:r>
    <w:r w:rsidR="007A0A56">
      <w:rPr>
        <w:rFonts w:ascii="Arial" w:hAnsi="Arial" w:cs="Arial"/>
        <w:sz w:val="20"/>
        <w:szCs w:val="20"/>
      </w:rPr>
      <w:t>6.</w:t>
    </w:r>
    <w:r w:rsidR="007470F0">
      <w:rPr>
        <w:rFonts w:ascii="Arial" w:hAnsi="Arial" w:cs="Arial"/>
        <w:sz w:val="20"/>
        <w:szCs w:val="20"/>
      </w:rPr>
      <w:t>2</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7470F0" w:rsidRPr="007470F0">
      <w:rPr>
        <w:rFonts w:ascii="Arial" w:hAnsi="Arial" w:cs="Arial"/>
        <w:noProof/>
        <w:sz w:val="20"/>
        <w:szCs w:val="20"/>
        <w:lang w:val="de-DE"/>
      </w:rPr>
      <w:t>3</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A12E6D"/>
    <w:multiLevelType w:val="singleLevel"/>
    <w:tmpl w:val="08090017"/>
    <w:lvl w:ilvl="0">
      <w:start w:val="1"/>
      <w:numFmt w:val="lowerLetter"/>
      <w:lvlText w:val="%1)"/>
      <w:lvlJc w:val="left"/>
      <w:pPr>
        <w:tabs>
          <w:tab w:val="num" w:pos="360"/>
        </w:tabs>
        <w:ind w:left="360" w:hanging="360"/>
      </w:p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2BA38E1"/>
    <w:multiLevelType w:val="hybridMultilevel"/>
    <w:tmpl w:val="119AC6B0"/>
    <w:lvl w:ilvl="0" w:tplc="B758570A">
      <w:start w:val="1"/>
      <w:numFmt w:val="decimal"/>
      <w:lvlText w:val="%1."/>
      <w:lvlJc w:val="left"/>
      <w:pPr>
        <w:tabs>
          <w:tab w:val="num" w:pos="9149"/>
        </w:tabs>
        <w:ind w:left="9149" w:hanging="360"/>
      </w:pPr>
      <w:rPr>
        <w:rFonts w:ascii="Arial" w:hAnsi="Arial" w:cs="Arial" w:hint="default"/>
      </w:rPr>
    </w:lvl>
    <w:lvl w:ilvl="1" w:tplc="067031E2">
      <w:start w:val="1"/>
      <w:numFmt w:val="bullet"/>
      <w:lvlText w:val=""/>
      <w:lvlJc w:val="left"/>
      <w:pPr>
        <w:tabs>
          <w:tab w:val="num" w:pos="9509"/>
        </w:tabs>
        <w:ind w:left="9509" w:hanging="360"/>
      </w:pPr>
      <w:rPr>
        <w:rFonts w:ascii="Symbol" w:hAnsi="Symbol" w:hint="default"/>
        <w:color w:val="auto"/>
      </w:rPr>
    </w:lvl>
    <w:lvl w:ilvl="2" w:tplc="0409001B">
      <w:start w:val="1"/>
      <w:numFmt w:val="lowerRoman"/>
      <w:lvlText w:val="%3."/>
      <w:lvlJc w:val="right"/>
      <w:pPr>
        <w:tabs>
          <w:tab w:val="num" w:pos="10229"/>
        </w:tabs>
        <w:ind w:left="10229" w:hanging="180"/>
      </w:pPr>
    </w:lvl>
    <w:lvl w:ilvl="3" w:tplc="0409000F">
      <w:start w:val="1"/>
      <w:numFmt w:val="decimal"/>
      <w:lvlText w:val="%4."/>
      <w:lvlJc w:val="left"/>
      <w:pPr>
        <w:tabs>
          <w:tab w:val="num" w:pos="10949"/>
        </w:tabs>
        <w:ind w:left="10949" w:hanging="360"/>
      </w:pPr>
    </w:lvl>
    <w:lvl w:ilvl="4" w:tplc="04090019">
      <w:start w:val="1"/>
      <w:numFmt w:val="lowerLetter"/>
      <w:lvlText w:val="%5."/>
      <w:lvlJc w:val="left"/>
      <w:pPr>
        <w:tabs>
          <w:tab w:val="num" w:pos="11669"/>
        </w:tabs>
        <w:ind w:left="11669" w:hanging="360"/>
      </w:pPr>
    </w:lvl>
    <w:lvl w:ilvl="5" w:tplc="0409001B">
      <w:start w:val="1"/>
      <w:numFmt w:val="lowerRoman"/>
      <w:lvlText w:val="%6."/>
      <w:lvlJc w:val="right"/>
      <w:pPr>
        <w:tabs>
          <w:tab w:val="num" w:pos="12389"/>
        </w:tabs>
        <w:ind w:left="12389" w:hanging="180"/>
      </w:pPr>
    </w:lvl>
    <w:lvl w:ilvl="6" w:tplc="0409000F">
      <w:start w:val="1"/>
      <w:numFmt w:val="decimal"/>
      <w:lvlText w:val="%7."/>
      <w:lvlJc w:val="left"/>
      <w:pPr>
        <w:tabs>
          <w:tab w:val="num" w:pos="13109"/>
        </w:tabs>
        <w:ind w:left="13109" w:hanging="360"/>
      </w:pPr>
    </w:lvl>
    <w:lvl w:ilvl="7" w:tplc="04090019">
      <w:start w:val="1"/>
      <w:numFmt w:val="lowerLetter"/>
      <w:lvlText w:val="%8."/>
      <w:lvlJc w:val="left"/>
      <w:pPr>
        <w:tabs>
          <w:tab w:val="num" w:pos="13829"/>
        </w:tabs>
        <w:ind w:left="13829" w:hanging="360"/>
      </w:pPr>
    </w:lvl>
    <w:lvl w:ilvl="8" w:tplc="0409001B">
      <w:start w:val="1"/>
      <w:numFmt w:val="lowerRoman"/>
      <w:lvlText w:val="%9."/>
      <w:lvlJc w:val="right"/>
      <w:pPr>
        <w:tabs>
          <w:tab w:val="num" w:pos="14549"/>
        </w:tabs>
        <w:ind w:left="14549" w:hanging="180"/>
      </w:p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6"/>
  </w:num>
  <w:num w:numId="5">
    <w:abstractNumId w:val="16"/>
  </w:num>
  <w:num w:numId="6">
    <w:abstractNumId w:val="0"/>
  </w:num>
  <w:num w:numId="7">
    <w:abstractNumId w:val="14"/>
  </w:num>
  <w:num w:numId="8">
    <w:abstractNumId w:val="15"/>
  </w:num>
  <w:num w:numId="9">
    <w:abstractNumId w:val="9"/>
  </w:num>
  <w:num w:numId="10">
    <w:abstractNumId w:val="8"/>
  </w:num>
  <w:num w:numId="11">
    <w:abstractNumId w:val="17"/>
  </w:num>
  <w:num w:numId="12">
    <w:abstractNumId w:val="5"/>
  </w:num>
  <w:num w:numId="13">
    <w:abstractNumId w:val="19"/>
  </w:num>
  <w:num w:numId="14">
    <w:abstractNumId w:val="1"/>
  </w:num>
  <w:num w:numId="15">
    <w:abstractNumId w:val="12"/>
  </w:num>
  <w:num w:numId="16">
    <w:abstractNumId w:val="18"/>
  </w:num>
  <w:num w:numId="17">
    <w:abstractNumId w:val="3"/>
  </w:num>
  <w:num w:numId="18">
    <w:abstractNumId w:val="10"/>
  </w:num>
  <w:num w:numId="19">
    <w:abstractNumId w:val="13"/>
  </w:num>
  <w:num w:numId="20">
    <w:abstractNumId w:val="7"/>
  </w:num>
  <w:num w:numId="2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D723B"/>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470F0"/>
    <w:rsid w:val="00754D75"/>
    <w:rsid w:val="007563CD"/>
    <w:rsid w:val="00761403"/>
    <w:rsid w:val="0078654F"/>
    <w:rsid w:val="007976A5"/>
    <w:rsid w:val="007A0319"/>
    <w:rsid w:val="007A0A56"/>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D02A9"/>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C0CDB"/>
    <w:rsid w:val="00EC431E"/>
    <w:rsid w:val="00EC5696"/>
    <w:rsid w:val="00ED6E41"/>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ED6E41"/>
    <w:rPr>
      <w:rFonts w:ascii="Arial" w:hAnsi="Arial" w:cs="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ED6E41"/>
    <w:rPr>
      <w:rFonts w:ascii="Arial" w:hAnsi="Arial"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723359563">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6ACF28-B233-45C2-854B-63F15CDD8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3870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7</cp:revision>
  <cp:lastPrinted>2013-09-25T14:30:00Z</cp:lastPrinted>
  <dcterms:created xsi:type="dcterms:W3CDTF">2015-05-06T10:09:00Z</dcterms:created>
  <dcterms:modified xsi:type="dcterms:W3CDTF">2016-02-29T15:43:00Z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