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1</w:t>
                            </w:r>
                            <w:r w:rsidR="003951D7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8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3951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3 November </w:t>
                            </w:r>
                            <w:r w:rsidR="00FA36AB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201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6</w:t>
                            </w:r>
                          </w:p>
                          <w:p w:rsidR="00FA36AB" w:rsidRPr="002160AA" w:rsidRDefault="003951D7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1</w:t>
                      </w:r>
                      <w:r w:rsidR="003951D7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8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3951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3 November </w:t>
                      </w:r>
                      <w:r w:rsidR="00FA36AB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201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6</w:t>
                      </w:r>
                    </w:p>
                    <w:p w:rsidR="00FA36AB" w:rsidRPr="002160AA" w:rsidRDefault="003951D7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E21F7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21F77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E21F77">
        <w:rPr>
          <w:rFonts w:ascii="Arial" w:hAnsi="Arial" w:cs="Arial"/>
          <w:b/>
          <w:sz w:val="20"/>
          <w:szCs w:val="20"/>
          <w:lang w:val="en-GB"/>
        </w:rPr>
        <w:tab/>
      </w:r>
      <w:r w:rsidR="00E21F77" w:rsidRPr="00E21F77">
        <w:rPr>
          <w:rFonts w:ascii="Arial" w:hAnsi="Arial" w:cs="Arial"/>
          <w:b/>
          <w:sz w:val="20"/>
          <w:szCs w:val="20"/>
          <w:lang w:val="en-GB"/>
        </w:rPr>
        <w:t>8.1</w:t>
      </w:r>
    </w:p>
    <w:p w:rsidR="003D6D11" w:rsidRPr="00E21F7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E21F77" w:rsidRDefault="003D6D11" w:rsidP="00E21F77">
      <w:pPr>
        <w:tabs>
          <w:tab w:val="left" w:pos="2160"/>
        </w:tabs>
        <w:ind w:left="1440" w:hanging="1440"/>
        <w:rPr>
          <w:rFonts w:ascii="Arial" w:hAnsi="Arial" w:cs="Arial"/>
          <w:b/>
          <w:sz w:val="20"/>
          <w:szCs w:val="20"/>
          <w:lang w:val="en-GB"/>
        </w:rPr>
      </w:pPr>
      <w:r w:rsidRPr="00E21F77">
        <w:rPr>
          <w:rFonts w:ascii="Arial" w:hAnsi="Arial" w:cs="Arial"/>
          <w:b/>
          <w:sz w:val="20"/>
          <w:szCs w:val="20"/>
          <w:lang w:val="en-GB"/>
        </w:rPr>
        <w:t>Subject:</w:t>
      </w:r>
      <w:r w:rsidRPr="00E21F77">
        <w:rPr>
          <w:rFonts w:ascii="Arial" w:hAnsi="Arial" w:cs="Arial"/>
          <w:b/>
          <w:sz w:val="20"/>
          <w:szCs w:val="20"/>
          <w:lang w:val="en-GB"/>
        </w:rPr>
        <w:tab/>
      </w:r>
      <w:r w:rsidR="00E21F77" w:rsidRPr="00E21F77">
        <w:rPr>
          <w:rFonts w:ascii="Arial" w:hAnsi="Arial" w:cs="Arial"/>
          <w:b/>
          <w:sz w:val="20"/>
          <w:szCs w:val="20"/>
          <w:lang w:val="en-GB"/>
        </w:rPr>
        <w:t xml:space="preserve">MTR 2014-18 of the Implementation of the Trilateral WS Cooperation </w:t>
      </w:r>
      <w:r w:rsidR="00E21F77" w:rsidRPr="00E21F77">
        <w:rPr>
          <w:rFonts w:ascii="Verdana" w:hAnsi="Verdana"/>
          <w:b/>
          <w:sz w:val="18"/>
          <w:szCs w:val="18"/>
          <w:lang w:val="nl-NL"/>
        </w:rPr>
        <w:t>Tønder declaration</w:t>
      </w:r>
    </w:p>
    <w:p w:rsidR="003D6D11" w:rsidRPr="00E21F7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21F77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E21F7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21F77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E21F77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E21F77">
        <w:rPr>
          <w:rFonts w:ascii="Arial" w:hAnsi="Arial" w:cs="Arial"/>
          <w:b/>
          <w:sz w:val="20"/>
          <w:szCs w:val="20"/>
          <w:lang w:val="en-GB"/>
        </w:rPr>
        <w:t>WSB 1</w:t>
      </w:r>
      <w:r w:rsidR="003951D7" w:rsidRPr="00E21F77">
        <w:rPr>
          <w:rFonts w:ascii="Arial" w:hAnsi="Arial" w:cs="Arial"/>
          <w:b/>
          <w:sz w:val="20"/>
          <w:szCs w:val="20"/>
          <w:lang w:val="en-GB"/>
        </w:rPr>
        <w:t>8</w:t>
      </w:r>
      <w:r w:rsidRPr="00E21F77">
        <w:rPr>
          <w:rFonts w:ascii="Arial" w:hAnsi="Arial" w:cs="Arial"/>
          <w:b/>
          <w:sz w:val="20"/>
          <w:szCs w:val="20"/>
          <w:lang w:val="en-GB"/>
        </w:rPr>
        <w:t>/</w:t>
      </w:r>
      <w:r w:rsidR="00E21F77" w:rsidRPr="00E21F77">
        <w:rPr>
          <w:rFonts w:ascii="Arial" w:hAnsi="Arial" w:cs="Arial"/>
          <w:b/>
          <w:sz w:val="20"/>
          <w:szCs w:val="20"/>
          <w:lang w:val="en-GB"/>
        </w:rPr>
        <w:t>8.1</w:t>
      </w:r>
      <w:r w:rsidRPr="00E21F77">
        <w:rPr>
          <w:rFonts w:ascii="Arial" w:hAnsi="Arial" w:cs="Arial"/>
          <w:b/>
          <w:sz w:val="20"/>
          <w:szCs w:val="20"/>
          <w:lang w:val="en-GB"/>
        </w:rPr>
        <w:t>/</w:t>
      </w:r>
      <w:r w:rsidR="00E21F77" w:rsidRPr="00E21F77">
        <w:rPr>
          <w:rFonts w:ascii="Arial" w:hAnsi="Arial" w:cs="Arial"/>
          <w:b/>
          <w:sz w:val="20"/>
          <w:szCs w:val="20"/>
          <w:lang w:val="en-GB"/>
        </w:rPr>
        <w:t>1</w:t>
      </w:r>
    </w:p>
    <w:p w:rsidR="003D6D11" w:rsidRPr="00E21F7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E21F77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E21F77">
        <w:rPr>
          <w:rFonts w:ascii="Arial" w:hAnsi="Arial" w:cs="Arial"/>
          <w:b/>
          <w:sz w:val="20"/>
          <w:szCs w:val="20"/>
          <w:lang w:val="en-GB"/>
        </w:rPr>
        <w:t>Date:</w:t>
      </w:r>
      <w:r w:rsidRPr="00E21F77">
        <w:rPr>
          <w:rFonts w:ascii="Arial" w:hAnsi="Arial" w:cs="Arial"/>
          <w:b/>
          <w:sz w:val="20"/>
          <w:szCs w:val="20"/>
          <w:lang w:val="en-GB"/>
        </w:rPr>
        <w:tab/>
      </w:r>
      <w:r w:rsidR="00E21F77" w:rsidRPr="00E21F77">
        <w:rPr>
          <w:rFonts w:ascii="Arial" w:hAnsi="Arial" w:cs="Arial"/>
          <w:b/>
          <w:sz w:val="20"/>
          <w:szCs w:val="20"/>
          <w:lang w:val="en-GB"/>
        </w:rPr>
        <w:t>21 October</w:t>
      </w:r>
      <w:r w:rsidR="00E904DF" w:rsidRPr="00E21F77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B07A4C" w:rsidRPr="00E21F77">
        <w:rPr>
          <w:rFonts w:ascii="Arial" w:hAnsi="Arial" w:cs="Arial"/>
          <w:b/>
          <w:sz w:val="20"/>
          <w:szCs w:val="20"/>
          <w:lang w:val="en-GB"/>
        </w:rPr>
        <w:t>201</w:t>
      </w:r>
      <w:r w:rsidR="002D7DF5" w:rsidRPr="00E21F77">
        <w:rPr>
          <w:rFonts w:ascii="Arial" w:hAnsi="Arial" w:cs="Arial"/>
          <w:b/>
          <w:sz w:val="20"/>
          <w:szCs w:val="20"/>
          <w:lang w:val="en-GB"/>
        </w:rPr>
        <w:t>6</w:t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21F77">
        <w:rPr>
          <w:rFonts w:ascii="Arial" w:hAnsi="Arial" w:cs="Arial"/>
          <w:b/>
          <w:sz w:val="20"/>
          <w:szCs w:val="20"/>
          <w:lang w:val="en-GB"/>
        </w:rPr>
        <w:t>The Netherlands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Default="00D90053" w:rsidP="00754D75">
      <w:pPr>
        <w:rPr>
          <w:rFonts w:ascii="Arial" w:hAnsi="Arial"/>
          <w:sz w:val="20"/>
          <w:szCs w:val="20"/>
          <w:lang w:val="en-GB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</w:t>
      </w: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>
        <w:rPr>
          <w:rFonts w:ascii="Verdana" w:hAnsi="Verdana"/>
          <w:b/>
          <w:sz w:val="18"/>
          <w:szCs w:val="18"/>
          <w:lang w:val="nl-NL"/>
        </w:rPr>
        <w:t>A Mid Term Review of the Implementation of the Trilateral Wadden Sea Cooperation 2014-2018, prepared by the Netherlands, was submitted to the WSB June 2016.</w:t>
      </w: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>
        <w:rPr>
          <w:rFonts w:ascii="Verdana" w:hAnsi="Verdana"/>
          <w:b/>
          <w:sz w:val="18"/>
          <w:szCs w:val="18"/>
          <w:lang w:val="nl-NL"/>
        </w:rPr>
        <w:t>It was noted that most of the actions were assessed as being on schedule. However, for a minor amount of 6 items the indications were red, indicating these were not being on the required schedule.</w:t>
      </w: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>
        <w:rPr>
          <w:rFonts w:ascii="Verdana" w:hAnsi="Verdana"/>
          <w:b/>
          <w:sz w:val="18"/>
          <w:szCs w:val="18"/>
          <w:lang w:val="nl-NL"/>
        </w:rPr>
        <w:t xml:space="preserve"> </w:t>
      </w: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>
        <w:rPr>
          <w:rFonts w:ascii="Verdana" w:hAnsi="Verdana"/>
          <w:b/>
          <w:sz w:val="18"/>
          <w:szCs w:val="18"/>
          <w:lang w:val="nl-NL"/>
        </w:rPr>
        <w:t xml:space="preserve">As a next step, the WSB June meeting invited the Netherlands to submit proposals for a follow-up focussing on those items being assessed as not on target to be achieved (marked red in the MTR; in total 6 items)  </w:t>
      </w: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>
        <w:rPr>
          <w:rFonts w:ascii="Verdana" w:hAnsi="Verdana"/>
          <w:b/>
          <w:sz w:val="18"/>
          <w:szCs w:val="18"/>
          <w:lang w:val="nl-NL"/>
        </w:rPr>
        <w:t xml:space="preserve">The WSB is invited to note the proposals formulated in this discussion paper and consequently to decide how to proceed. 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ind w:firstLine="720"/>
        <w:rPr>
          <w:rFonts w:ascii="Verdana" w:hAnsi="Verdana"/>
          <w:sz w:val="18"/>
          <w:szCs w:val="18"/>
          <w:lang w:val="nl-NL"/>
        </w:rPr>
      </w:pPr>
      <w:r>
        <w:rPr>
          <w:rFonts w:ascii="Verdana" w:hAnsi="Verdana"/>
          <w:sz w:val="18"/>
          <w:szCs w:val="18"/>
          <w:lang w:val="nl-NL"/>
        </w:rPr>
        <w:t xml:space="preserve">The items depicted in the boxes, originate from the MTR itself (June 2016). 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  <w:r>
        <w:rPr>
          <w:rFonts w:ascii="Verdana" w:hAnsi="Verdana"/>
          <w:sz w:val="18"/>
          <w:szCs w:val="18"/>
          <w:lang w:val="nl-NL"/>
        </w:rPr>
        <w:tab/>
        <w:t>The proposals are given in italic.</w:t>
      </w:r>
    </w:p>
    <w:p w:rsidR="00E21F77" w:rsidRPr="00E21F77" w:rsidRDefault="00E21F77" w:rsidP="003D6D11">
      <w:pPr>
        <w:pStyle w:val="Textkrper"/>
        <w:rPr>
          <w:szCs w:val="20"/>
          <w:lang w:val="nl-NL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br w:type="page"/>
      </w:r>
    </w:p>
    <w:p w:rsidR="00E21F77" w:rsidRPr="00114FAF" w:rsidRDefault="00E21F77" w:rsidP="00E21F77">
      <w:pPr>
        <w:jc w:val="center"/>
        <w:rPr>
          <w:rFonts w:ascii="Verdana" w:hAnsi="Verdana"/>
          <w:b/>
          <w:sz w:val="22"/>
          <w:szCs w:val="22"/>
          <w:lang w:val="nl-NL"/>
        </w:rPr>
      </w:pPr>
      <w:r w:rsidRPr="00114FAF">
        <w:rPr>
          <w:rFonts w:ascii="Verdana" w:hAnsi="Verdana"/>
          <w:b/>
          <w:sz w:val="22"/>
          <w:szCs w:val="22"/>
          <w:lang w:val="nl-NL"/>
        </w:rPr>
        <w:lastRenderedPageBreak/>
        <w:t>MTR 2014-2018 of the Implementation of the trilateral Wadden Sea Cooperation Tønder declaration</w:t>
      </w: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</w:p>
    <w:p w:rsidR="00E21F77" w:rsidRPr="00F915A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 w:rsidRPr="00F915A7">
        <w:rPr>
          <w:rFonts w:ascii="Verdana" w:hAnsi="Verdana"/>
          <w:b/>
          <w:sz w:val="18"/>
          <w:szCs w:val="18"/>
          <w:lang w:val="nl-NL"/>
        </w:rPr>
        <w:t>Nature Conservation for the Wadden Sea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  <w:r>
        <w:rPr>
          <w:rFonts w:ascii="Verdana" w:hAnsi="Verdana"/>
          <w:sz w:val="18"/>
          <w:szCs w:val="18"/>
          <w:lang w:val="nl-NL"/>
        </w:rPr>
        <w:tab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79"/>
        <w:gridCol w:w="4333"/>
        <w:gridCol w:w="1317"/>
      </w:tblGrid>
      <w:tr w:rsidR="00E21F77" w:rsidRPr="00C4409A" w:rsidTr="00B04AC2">
        <w:tc>
          <w:tcPr>
            <w:tcW w:w="3070" w:type="dxa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Innovation in monitoring</w:t>
            </w:r>
          </w:p>
        </w:tc>
        <w:tc>
          <w:tcPr>
            <w:tcW w:w="4693" w:type="dxa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No changes yet. Waiting for suggestions out of the QSR – 2016.</w:t>
            </w:r>
          </w:p>
        </w:tc>
        <w:tc>
          <w:tcPr>
            <w:tcW w:w="1449" w:type="dxa"/>
            <w:shd w:val="clear" w:color="auto" w:fill="FF00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</w:tbl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 w:rsidRPr="00404C60">
        <w:rPr>
          <w:rFonts w:ascii="Verdana" w:hAnsi="Verdana"/>
          <w:i/>
          <w:sz w:val="18"/>
          <w:szCs w:val="18"/>
          <w:lang w:val="nl-NL"/>
        </w:rPr>
        <w:t xml:space="preserve">The results of the QSR-2016 are not available yet.  The issue of ‘Data’ in a broad sense will also be taken up at the next International Scientific Wadden Sea Symposium in Denmark. 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Proposal 1 is </w:t>
      </w:r>
      <w:r w:rsidRPr="00404C60">
        <w:rPr>
          <w:rFonts w:ascii="Verdana" w:hAnsi="Verdana"/>
          <w:i/>
          <w:sz w:val="18"/>
          <w:szCs w:val="18"/>
          <w:lang w:val="nl-NL"/>
        </w:rPr>
        <w:t>to wait for these inputs.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Proposal 2 </w:t>
      </w:r>
      <w:r w:rsidRPr="00404C60">
        <w:rPr>
          <w:rFonts w:ascii="Verdana" w:hAnsi="Verdana"/>
          <w:i/>
          <w:sz w:val="18"/>
          <w:szCs w:val="18"/>
          <w:lang w:val="nl-NL"/>
        </w:rPr>
        <w:t xml:space="preserve"> is to </w:t>
      </w:r>
      <w:r>
        <w:rPr>
          <w:rFonts w:ascii="Verdana" w:hAnsi="Verdana"/>
          <w:i/>
          <w:sz w:val="18"/>
          <w:szCs w:val="18"/>
          <w:lang w:val="nl-NL"/>
        </w:rPr>
        <w:t xml:space="preserve">investigate whether a promising </w:t>
      </w:r>
      <w:r w:rsidRPr="00404C60">
        <w:rPr>
          <w:rFonts w:ascii="Verdana" w:hAnsi="Verdana"/>
          <w:i/>
          <w:sz w:val="18"/>
          <w:szCs w:val="18"/>
          <w:lang w:val="nl-NL"/>
        </w:rPr>
        <w:t>satellite monitoring issue, f.i. satellite monitoring of Primary Production or flyway-tracking of certain migratory bird species</w:t>
      </w:r>
      <w:r>
        <w:rPr>
          <w:rFonts w:ascii="Verdana" w:hAnsi="Verdana"/>
          <w:i/>
          <w:sz w:val="18"/>
          <w:szCs w:val="18"/>
          <w:lang w:val="nl-NL"/>
        </w:rPr>
        <w:t>, can be taken up</w:t>
      </w:r>
      <w:r w:rsidRPr="00404C60">
        <w:rPr>
          <w:rFonts w:ascii="Verdana" w:hAnsi="Verdana"/>
          <w:i/>
          <w:sz w:val="18"/>
          <w:szCs w:val="18"/>
          <w:lang w:val="nl-NL"/>
        </w:rPr>
        <w:t>.</w:t>
      </w:r>
      <w:r>
        <w:rPr>
          <w:rFonts w:ascii="Verdana" w:hAnsi="Verdana"/>
          <w:i/>
          <w:sz w:val="18"/>
          <w:szCs w:val="18"/>
          <w:lang w:val="nl-NL"/>
        </w:rPr>
        <w:t xml:space="preserve"> The latter issue was embraced enthousiastically by prof Theunis Piersma at the occasion of the last Wadden Sea Day.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F915A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 w:rsidRPr="00F915A7">
        <w:rPr>
          <w:rFonts w:ascii="Verdana" w:hAnsi="Verdana"/>
          <w:b/>
          <w:sz w:val="18"/>
          <w:szCs w:val="18"/>
          <w:lang w:val="nl-NL"/>
        </w:rPr>
        <w:t>Wadden Sea World Heritage Site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5"/>
        <w:gridCol w:w="4366"/>
        <w:gridCol w:w="1308"/>
      </w:tblGrid>
      <w:tr w:rsidR="00E21F77" w:rsidRPr="00C4409A" w:rsidTr="00B04AC2">
        <w:trPr>
          <w:trHeight w:val="405"/>
        </w:trPr>
        <w:tc>
          <w:tcPr>
            <w:tcW w:w="3070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Boosting education network through IWSS</w:t>
            </w:r>
          </w:p>
        </w:tc>
        <w:tc>
          <w:tcPr>
            <w:tcW w:w="4693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Education network/centres in place.</w:t>
            </w:r>
          </w:p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No significant increase in number of children attracted to Wadden Sea</w:t>
            </w:r>
          </w:p>
        </w:tc>
        <w:tc>
          <w:tcPr>
            <w:tcW w:w="1449" w:type="dxa"/>
            <w:shd w:val="clear" w:color="auto" w:fill="00B05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  <w:tr w:rsidR="00E21F77" w:rsidRPr="00C4409A" w:rsidTr="00B04AC2">
        <w:trPr>
          <w:trHeight w:val="405"/>
        </w:trPr>
        <w:tc>
          <w:tcPr>
            <w:tcW w:w="3070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93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9" w:type="dxa"/>
            <w:shd w:val="clear" w:color="auto" w:fill="FF00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</w:tbl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Proposal 1 </w:t>
      </w:r>
      <w:r w:rsidRPr="00404C60">
        <w:rPr>
          <w:rFonts w:ascii="Verdana" w:hAnsi="Verdana"/>
          <w:i/>
          <w:sz w:val="18"/>
          <w:szCs w:val="18"/>
          <w:lang w:val="nl-NL"/>
        </w:rPr>
        <w:t>is to wait for the results of the evaluation of the International Wadden Sea School, which is running now</w:t>
      </w:r>
      <w:r>
        <w:rPr>
          <w:rFonts w:ascii="Verdana" w:hAnsi="Verdana"/>
          <w:i/>
          <w:sz w:val="18"/>
          <w:szCs w:val="18"/>
          <w:lang w:val="nl-NL"/>
        </w:rPr>
        <w:t xml:space="preserve"> </w:t>
      </w:r>
      <w:r w:rsidRPr="00404C60">
        <w:rPr>
          <w:rFonts w:ascii="Verdana" w:hAnsi="Verdana"/>
          <w:i/>
          <w:sz w:val="18"/>
          <w:szCs w:val="18"/>
          <w:lang w:val="nl-NL"/>
        </w:rPr>
        <w:t>and will deliver recommendations.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Proposal 2: </w:t>
      </w:r>
      <w:r w:rsidRPr="00404C60">
        <w:rPr>
          <w:rFonts w:ascii="Verdana" w:hAnsi="Verdana"/>
          <w:i/>
          <w:sz w:val="18"/>
          <w:szCs w:val="18"/>
          <w:lang w:val="nl-NL"/>
        </w:rPr>
        <w:t xml:space="preserve">In the context of the next Trilateral Wadden Sea Governmental Conference (Leeuwarden, 2018), the Dutch presidency considers to develop a </w:t>
      </w:r>
      <w:r>
        <w:rPr>
          <w:rFonts w:ascii="Verdana" w:hAnsi="Verdana"/>
          <w:i/>
          <w:sz w:val="18"/>
          <w:szCs w:val="18"/>
          <w:lang w:val="nl-NL"/>
        </w:rPr>
        <w:t xml:space="preserve">youth conference, </w:t>
      </w:r>
      <w:r w:rsidRPr="00404C60">
        <w:rPr>
          <w:rFonts w:ascii="Verdana" w:hAnsi="Verdana"/>
          <w:i/>
          <w:sz w:val="18"/>
          <w:szCs w:val="18"/>
          <w:lang w:val="nl-NL"/>
        </w:rPr>
        <w:t xml:space="preserve">school-competition or another students-programme, to attract and involve the next generation.  This might well  be coupled with the International Wadden Sea movie-initiative which has started already and is scheduled to be launched at the time of the wadden Sea Conference.  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F915A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 w:rsidRPr="00F915A7">
        <w:rPr>
          <w:rFonts w:ascii="Verdana" w:hAnsi="Verdana"/>
          <w:b/>
          <w:sz w:val="18"/>
          <w:szCs w:val="18"/>
          <w:lang w:val="nl-NL"/>
        </w:rPr>
        <w:t>Sustainable use of the Wadden Sea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57"/>
        <w:gridCol w:w="4352"/>
        <w:gridCol w:w="1320"/>
      </w:tblGrid>
      <w:tr w:rsidR="00E21F77" w:rsidRPr="00C4409A" w:rsidTr="00B04AC2">
        <w:tc>
          <w:tcPr>
            <w:tcW w:w="3070" w:type="dxa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Shipping</w:t>
            </w:r>
          </w:p>
        </w:tc>
        <w:tc>
          <w:tcPr>
            <w:tcW w:w="4693" w:type="dxa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TG-S just recently  established (?): considerable delay in providing deliverables</w:t>
            </w:r>
          </w:p>
        </w:tc>
        <w:tc>
          <w:tcPr>
            <w:tcW w:w="1449" w:type="dxa"/>
            <w:shd w:val="clear" w:color="auto" w:fill="FF00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</w:tbl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 w:rsidRPr="00404C60">
        <w:rPr>
          <w:rFonts w:ascii="Verdana" w:hAnsi="Verdana"/>
          <w:i/>
          <w:sz w:val="18"/>
          <w:szCs w:val="18"/>
          <w:lang w:val="nl-NL"/>
        </w:rPr>
        <w:t xml:space="preserve">The DenGerNeth Maritime Administration Group has been established and </w:t>
      </w:r>
      <w:r>
        <w:rPr>
          <w:rFonts w:ascii="Verdana" w:hAnsi="Verdana"/>
          <w:i/>
          <w:sz w:val="18"/>
          <w:szCs w:val="18"/>
          <w:lang w:val="nl-NL"/>
        </w:rPr>
        <w:t xml:space="preserve">their </w:t>
      </w:r>
      <w:r w:rsidRPr="00404C60">
        <w:rPr>
          <w:rFonts w:ascii="Verdana" w:hAnsi="Verdana"/>
          <w:i/>
          <w:sz w:val="18"/>
          <w:szCs w:val="18"/>
          <w:lang w:val="nl-NL"/>
        </w:rPr>
        <w:t>1st meeting took place</w:t>
      </w:r>
      <w:r>
        <w:rPr>
          <w:rFonts w:ascii="Verdana" w:hAnsi="Verdana"/>
          <w:i/>
          <w:sz w:val="18"/>
          <w:szCs w:val="18"/>
          <w:lang w:val="nl-NL"/>
        </w:rPr>
        <w:t>; accordingly the actual progress should be marked yellow now.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However, as the progress is difficult to assess at this stage, the WSB is proposed to take a careful and alert attitude towards this Group.   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1"/>
        <w:gridCol w:w="4333"/>
        <w:gridCol w:w="1315"/>
      </w:tblGrid>
      <w:tr w:rsidR="00E21F77" w:rsidRPr="00C4409A" w:rsidTr="00B04AC2">
        <w:trPr>
          <w:trHeight w:val="270"/>
        </w:trPr>
        <w:tc>
          <w:tcPr>
            <w:tcW w:w="3070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Sustainable Fisheries</w:t>
            </w:r>
          </w:p>
        </w:tc>
        <w:tc>
          <w:tcPr>
            <w:tcW w:w="4693" w:type="dxa"/>
            <w:vMerge w:val="restart"/>
          </w:tcPr>
          <w:p w:rsidR="00E21F77" w:rsidRDefault="00E21F77" w:rsidP="00B04A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Closed area concept in several places established.</w:t>
            </w:r>
          </w:p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N</w:t>
            </w:r>
            <w:r w:rsidRPr="00C4409A">
              <w:rPr>
                <w:rFonts w:ascii="Calibri" w:eastAsia="Calibri" w:hAnsi="Calibri" w:cs="Times New Roman"/>
              </w:rPr>
              <w:t>o coherent, level playing field approach yet started at trilateral level</w:t>
            </w:r>
          </w:p>
        </w:tc>
        <w:tc>
          <w:tcPr>
            <w:tcW w:w="1449" w:type="dxa"/>
            <w:shd w:val="clear" w:color="auto" w:fill="00B05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  <w:tr w:rsidR="00E21F77" w:rsidRPr="00C4409A" w:rsidTr="00B04AC2">
        <w:trPr>
          <w:trHeight w:val="550"/>
        </w:trPr>
        <w:tc>
          <w:tcPr>
            <w:tcW w:w="3070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93" w:type="dxa"/>
            <w:vMerge/>
          </w:tcPr>
          <w:p w:rsidR="00E21F77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9" w:type="dxa"/>
            <w:shd w:val="clear" w:color="auto" w:fill="FF00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</w:tbl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It is noted that relevant </w:t>
      </w:r>
      <w:r w:rsidRPr="00404C60">
        <w:rPr>
          <w:rFonts w:ascii="Verdana" w:hAnsi="Verdana"/>
          <w:i/>
          <w:sz w:val="18"/>
          <w:szCs w:val="18"/>
          <w:lang w:val="nl-NL"/>
        </w:rPr>
        <w:t>developments  have taken place in the different regions over the last few years (like f.i. the signed agreement on musselfishery in summer 2015 in Schleswig-Holstein)</w:t>
      </w:r>
      <w:r>
        <w:rPr>
          <w:rFonts w:ascii="Verdana" w:hAnsi="Verdana"/>
          <w:i/>
          <w:sz w:val="18"/>
          <w:szCs w:val="18"/>
          <w:lang w:val="nl-NL"/>
        </w:rPr>
        <w:t>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>The proposal is t</w:t>
      </w:r>
      <w:r w:rsidRPr="00404C60">
        <w:rPr>
          <w:rFonts w:ascii="Verdana" w:hAnsi="Verdana"/>
          <w:i/>
          <w:sz w:val="18"/>
          <w:szCs w:val="18"/>
          <w:lang w:val="nl-NL"/>
        </w:rPr>
        <w:t>o start with an update (inventory) of measures applied (installing  closed areas/ application of appropriate assessmemts/other measures on sustainability for fisheries).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This update should be submitted to the next WSB. </w:t>
      </w:r>
      <w:r w:rsidRPr="00404C60">
        <w:rPr>
          <w:rFonts w:ascii="Verdana" w:hAnsi="Verdana"/>
          <w:i/>
          <w:sz w:val="18"/>
          <w:szCs w:val="18"/>
          <w:lang w:val="nl-NL"/>
        </w:rPr>
        <w:t>Based on this update, the WSB could proceed on defining next feasible steps forward.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F915A7" w:rsidRDefault="00E21F77" w:rsidP="00E21F77">
      <w:pPr>
        <w:rPr>
          <w:rFonts w:ascii="Verdana" w:hAnsi="Verdana"/>
          <w:b/>
          <w:sz w:val="18"/>
          <w:szCs w:val="18"/>
          <w:lang w:val="nl-NL"/>
        </w:rPr>
      </w:pPr>
      <w:r w:rsidRPr="00F915A7">
        <w:rPr>
          <w:rFonts w:ascii="Verdana" w:hAnsi="Verdana"/>
          <w:b/>
          <w:sz w:val="18"/>
          <w:szCs w:val="18"/>
          <w:lang w:val="nl-NL"/>
        </w:rPr>
        <w:t>Other main items of the Tønder declaration</w:t>
      </w: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99"/>
        <w:gridCol w:w="4317"/>
        <w:gridCol w:w="1313"/>
      </w:tblGrid>
      <w:tr w:rsidR="00E21F77" w:rsidRPr="00C4409A" w:rsidTr="00B04AC2">
        <w:trPr>
          <w:trHeight w:val="360"/>
        </w:trPr>
        <w:tc>
          <w:tcPr>
            <w:tcW w:w="3070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35. Alien Species: further development of framework AS, as well as AS Management Plan and Action Plan</w:t>
            </w:r>
          </w:p>
        </w:tc>
        <w:tc>
          <w:tcPr>
            <w:tcW w:w="4693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Life application rejected.</w:t>
            </w:r>
          </w:p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Further work in progress</w:t>
            </w:r>
          </w:p>
        </w:tc>
        <w:tc>
          <w:tcPr>
            <w:tcW w:w="1449" w:type="dxa"/>
            <w:shd w:val="clear" w:color="auto" w:fill="FF00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  <w:tr w:rsidR="00E21F77" w:rsidRPr="00C4409A" w:rsidTr="00B04AC2">
        <w:trPr>
          <w:trHeight w:val="730"/>
        </w:trPr>
        <w:tc>
          <w:tcPr>
            <w:tcW w:w="3070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93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9" w:type="dxa"/>
            <w:shd w:val="clear" w:color="auto" w:fill="FFFF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</w:tbl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 w:rsidRPr="00404C60">
        <w:rPr>
          <w:rFonts w:ascii="Verdana" w:hAnsi="Verdana"/>
          <w:i/>
          <w:sz w:val="18"/>
          <w:szCs w:val="18"/>
          <w:lang w:val="nl-NL"/>
        </w:rPr>
        <w:t xml:space="preserve">Despite the fact that the Life application was rejected, further progress has been reported by the ad-hoc group Alien Species and workshops are scheduled. 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>Proposal: n</w:t>
      </w:r>
      <w:r w:rsidRPr="00404C60">
        <w:rPr>
          <w:rFonts w:ascii="Verdana" w:hAnsi="Verdana"/>
          <w:i/>
          <w:sz w:val="18"/>
          <w:szCs w:val="18"/>
          <w:lang w:val="nl-NL"/>
        </w:rPr>
        <w:t xml:space="preserve">o further </w:t>
      </w:r>
      <w:r>
        <w:rPr>
          <w:rFonts w:ascii="Verdana" w:hAnsi="Verdana"/>
          <w:i/>
          <w:sz w:val="18"/>
          <w:szCs w:val="18"/>
          <w:lang w:val="nl-NL"/>
        </w:rPr>
        <w:t xml:space="preserve">actions </w:t>
      </w:r>
      <w:r w:rsidRPr="00404C60">
        <w:rPr>
          <w:rFonts w:ascii="Verdana" w:hAnsi="Verdana"/>
          <w:i/>
          <w:sz w:val="18"/>
          <w:szCs w:val="18"/>
          <w:lang w:val="nl-NL"/>
        </w:rPr>
        <w:t>at this stage</w:t>
      </w:r>
      <w:r>
        <w:rPr>
          <w:rFonts w:ascii="Verdana" w:hAnsi="Verdana"/>
          <w:i/>
          <w:sz w:val="18"/>
          <w:szCs w:val="18"/>
          <w:lang w:val="nl-NL"/>
        </w:rPr>
        <w:t xml:space="preserve"> recommended</w:t>
      </w:r>
      <w:r w:rsidRPr="00404C60">
        <w:rPr>
          <w:rFonts w:ascii="Verdana" w:hAnsi="Verdana"/>
          <w:i/>
          <w:sz w:val="18"/>
          <w:szCs w:val="18"/>
          <w:lang w:val="nl-NL"/>
        </w:rPr>
        <w:t>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5"/>
        <w:gridCol w:w="4327"/>
        <w:gridCol w:w="1317"/>
      </w:tblGrid>
      <w:tr w:rsidR="00E21F77" w:rsidRPr="00C4409A" w:rsidTr="00B04AC2">
        <w:trPr>
          <w:trHeight w:val="540"/>
        </w:trPr>
        <w:tc>
          <w:tcPr>
            <w:tcW w:w="3070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Cultural Heritage Issue, consistent with preamble of the Tønder Declaration</w:t>
            </w:r>
          </w:p>
        </w:tc>
        <w:tc>
          <w:tcPr>
            <w:tcW w:w="4693" w:type="dxa"/>
            <w:vMerge w:val="restart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  <w:r w:rsidRPr="00C4409A">
              <w:rPr>
                <w:rFonts w:ascii="Calibri" w:eastAsia="Calibri" w:hAnsi="Calibri" w:cs="Times New Roman"/>
              </w:rPr>
              <w:t>Dutch presidency to initiate. at workshop level trilateral exchange is realised as part of the research agenda in progress. QSR will give an update.</w:t>
            </w:r>
          </w:p>
        </w:tc>
        <w:tc>
          <w:tcPr>
            <w:tcW w:w="1449" w:type="dxa"/>
            <w:shd w:val="clear" w:color="auto" w:fill="FF00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  <w:tr w:rsidR="00E21F77" w:rsidRPr="00C4409A" w:rsidTr="00B04AC2">
        <w:trPr>
          <w:trHeight w:val="540"/>
        </w:trPr>
        <w:tc>
          <w:tcPr>
            <w:tcW w:w="3070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93" w:type="dxa"/>
            <w:vMerge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449" w:type="dxa"/>
            <w:shd w:val="clear" w:color="auto" w:fill="FFFF00"/>
          </w:tcPr>
          <w:p w:rsidR="00E21F77" w:rsidRPr="00C4409A" w:rsidRDefault="00E21F77" w:rsidP="00B04AC2">
            <w:pPr>
              <w:rPr>
                <w:rFonts w:ascii="Calibri" w:eastAsia="Calibri" w:hAnsi="Calibri" w:cs="Times New Roman"/>
              </w:rPr>
            </w:pPr>
          </w:p>
        </w:tc>
      </w:tr>
    </w:tbl>
    <w:p w:rsidR="00E21F77" w:rsidRDefault="00E21F77" w:rsidP="00E21F77">
      <w:pPr>
        <w:rPr>
          <w:rFonts w:ascii="Verdana" w:hAnsi="Verdana"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 w:rsidRPr="00404C60">
        <w:rPr>
          <w:rFonts w:ascii="Verdana" w:hAnsi="Verdana"/>
          <w:i/>
          <w:sz w:val="18"/>
          <w:szCs w:val="18"/>
          <w:lang w:val="nl-NL"/>
        </w:rPr>
        <w:t xml:space="preserve">Progress can be reported: it is noted that a trilateral workshop on this issue is scheduled in december 2016 (Heide). </w:t>
      </w:r>
    </w:p>
    <w:p w:rsidR="00E21F77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 w:rsidRPr="00404C60">
        <w:rPr>
          <w:rFonts w:ascii="Verdana" w:hAnsi="Verdana"/>
          <w:i/>
          <w:sz w:val="18"/>
          <w:szCs w:val="18"/>
          <w:lang w:val="nl-NL"/>
        </w:rPr>
        <w:t>It is anticipated form the Dutch presidency that linked to the Trilateral Wadden Sea Governmental Conference the cultural heritage issue will be highlighted. How this will be organised is still open; a collaboration with the Wadden Sea Forum on this topic is envisaged.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  <w:r>
        <w:rPr>
          <w:rFonts w:ascii="Verdana" w:hAnsi="Verdana"/>
          <w:i/>
          <w:sz w:val="18"/>
          <w:szCs w:val="18"/>
          <w:lang w:val="nl-NL"/>
        </w:rPr>
        <w:t xml:space="preserve">Proposal: further actions will be reported  by the Dutch presidency in the context of the development of the Wadden Sea Governmental Conference programme. </w:t>
      </w: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E21F77" w:rsidRPr="00404C60" w:rsidRDefault="00E21F77" w:rsidP="00E21F77">
      <w:pPr>
        <w:rPr>
          <w:rFonts w:ascii="Verdana" w:hAnsi="Verdana"/>
          <w:i/>
          <w:sz w:val="18"/>
          <w:szCs w:val="18"/>
          <w:lang w:val="nl-NL"/>
        </w:rPr>
      </w:pPr>
    </w:p>
    <w:p w:rsidR="001C042F" w:rsidRPr="00E21F77" w:rsidRDefault="001C042F" w:rsidP="001C042F">
      <w:pPr>
        <w:rPr>
          <w:rFonts w:ascii="Arial" w:hAnsi="Arial" w:cs="Arial"/>
          <w:lang w:val="nl-NL"/>
        </w:rPr>
      </w:pPr>
      <w:bookmarkStart w:id="0" w:name="_GoBack"/>
      <w:bookmarkEnd w:id="0"/>
    </w:p>
    <w:sectPr w:rsidR="001C042F" w:rsidRPr="00E21F77" w:rsidSect="001C042F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1C042F" w:rsidRDefault="008E5954" w:rsidP="001C042F">
    <w:pPr>
      <w:pStyle w:val="Kopfzeile"/>
      <w:jc w:val="both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WSB</w:t>
    </w:r>
    <w:r w:rsidR="001C042F" w:rsidRPr="001C042F">
      <w:rPr>
        <w:rFonts w:ascii="Arial" w:hAnsi="Arial" w:cs="Arial"/>
        <w:sz w:val="20"/>
        <w:szCs w:val="20"/>
      </w:rPr>
      <w:t xml:space="preserve"> 1</w:t>
    </w:r>
    <w:r w:rsidR="003951D7">
      <w:rPr>
        <w:rFonts w:ascii="Arial" w:hAnsi="Arial" w:cs="Arial"/>
        <w:sz w:val="20"/>
        <w:szCs w:val="20"/>
      </w:rPr>
      <w:t>8</w:t>
    </w:r>
    <w:r w:rsidR="001C042F" w:rsidRPr="001C042F">
      <w:rPr>
        <w:rFonts w:ascii="Arial" w:hAnsi="Arial" w:cs="Arial"/>
        <w:sz w:val="20"/>
        <w:szCs w:val="20"/>
      </w:rPr>
      <w:t>/</w:t>
    </w:r>
    <w:r w:rsidR="00E21F77">
      <w:rPr>
        <w:rFonts w:ascii="Arial" w:hAnsi="Arial" w:cs="Arial"/>
        <w:sz w:val="20"/>
        <w:szCs w:val="20"/>
      </w:rPr>
      <w:t xml:space="preserve">8.1/1 MTR 2014-18 Implementation of </w:t>
    </w:r>
    <w:r w:rsidR="00E21F77" w:rsidRPr="00E21F77">
      <w:rPr>
        <w:rFonts w:ascii="Arial" w:hAnsi="Arial" w:cs="Arial"/>
        <w:sz w:val="20"/>
        <w:szCs w:val="20"/>
      </w:rPr>
      <w:t>Tønder declaration</w:t>
    </w:r>
    <w:r w:rsidR="00E21F77">
      <w:rPr>
        <w:rFonts w:ascii="Arial" w:hAnsi="Arial" w:cs="Arial"/>
        <w:sz w:val="20"/>
        <w:szCs w:val="20"/>
      </w:rPr>
      <w:t xml:space="preserve"> </w:t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1C042F">
      <w:rPr>
        <w:rFonts w:ascii="Arial" w:hAnsi="Arial" w:cs="Arial"/>
        <w:sz w:val="20"/>
        <w:szCs w:val="20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E21F77">
      <w:rPr>
        <w:rFonts w:ascii="Arial" w:hAnsi="Arial" w:cs="Arial"/>
        <w:noProof/>
        <w:sz w:val="20"/>
        <w:szCs w:val="20"/>
      </w:rPr>
      <w:t>3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  <w:r w:rsidR="001C042F" w:rsidRPr="001C042F">
      <w:rPr>
        <w:rFonts w:ascii="Arial" w:hAnsi="Arial" w:cs="Arial"/>
        <w:sz w:val="20"/>
        <w:szCs w:val="20"/>
      </w:rPr>
      <w:tab/>
    </w:r>
  </w:p>
  <w:p w:rsidR="001C042F" w:rsidRDefault="001C042F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8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4"/>
  </w:num>
  <w:num w:numId="5">
    <w:abstractNumId w:val="14"/>
  </w:num>
  <w:num w:numId="6">
    <w:abstractNumId w:val="0"/>
  </w:num>
  <w:num w:numId="7">
    <w:abstractNumId w:val="12"/>
  </w:num>
  <w:num w:numId="8">
    <w:abstractNumId w:val="13"/>
  </w:num>
  <w:num w:numId="9">
    <w:abstractNumId w:val="7"/>
  </w:num>
  <w:num w:numId="10">
    <w:abstractNumId w:val="6"/>
  </w:num>
  <w:num w:numId="11">
    <w:abstractNumId w:val="15"/>
  </w:num>
  <w:num w:numId="12">
    <w:abstractNumId w:val="3"/>
  </w:num>
  <w:num w:numId="13">
    <w:abstractNumId w:val="17"/>
  </w:num>
  <w:num w:numId="14">
    <w:abstractNumId w:val="1"/>
  </w:num>
  <w:num w:numId="15">
    <w:abstractNumId w:val="10"/>
  </w:num>
  <w:num w:numId="16">
    <w:abstractNumId w:val="16"/>
  </w:num>
  <w:num w:numId="17">
    <w:abstractNumId w:val="2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33535"/>
    <w:rsid w:val="00336615"/>
    <w:rsid w:val="00340678"/>
    <w:rsid w:val="00342BBA"/>
    <w:rsid w:val="00367F1A"/>
    <w:rsid w:val="0037509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6517"/>
    <w:rsid w:val="003E673D"/>
    <w:rsid w:val="003F3217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7D81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925"/>
    <w:rsid w:val="00BB539C"/>
    <w:rsid w:val="00BB654B"/>
    <w:rsid w:val="00BB72BE"/>
    <w:rsid w:val="00BC4357"/>
    <w:rsid w:val="00BD4531"/>
    <w:rsid w:val="00BE4BF3"/>
    <w:rsid w:val="00C066DF"/>
    <w:rsid w:val="00C15340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20D83"/>
    <w:rsid w:val="00E21F77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12B6BA-9CE2-4C7C-8001-F1CAAED4F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748</Words>
  <Characters>4308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2</cp:revision>
  <cp:lastPrinted>2013-09-25T14:30:00Z</cp:lastPrinted>
  <dcterms:created xsi:type="dcterms:W3CDTF">2016-10-21T14:47:00Z</dcterms:created>
  <dcterms:modified xsi:type="dcterms:W3CDTF">2016-10-21T14:47:00Z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